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23D57">
      <w:pPr>
        <w:kinsoku w:val="0"/>
        <w:overflowPunct w:val="0"/>
        <w:autoSpaceDE/>
        <w:autoSpaceDN/>
        <w:adjustRightInd/>
        <w:spacing w:after="560" w:line="20" w:lineRule="exact"/>
        <w:textAlignment w:val="baseline"/>
        <w:rPr>
          <w:sz w:val="24"/>
          <w:szCs w:val="24"/>
        </w:rPr>
      </w:pPr>
    </w:p>
    <w:p w:rsidR="00000000" w:rsidRDefault="00E23D57">
      <w:pPr>
        <w:kinsoku w:val="0"/>
        <w:overflowPunct w:val="0"/>
        <w:autoSpaceDE/>
        <w:autoSpaceDN/>
        <w:adjustRightInd/>
        <w:spacing w:before="1" w:line="283"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RESOLUCION TAT No. 3203-2017</w:t>
      </w:r>
    </w:p>
    <w:p w:rsidR="00000000" w:rsidRDefault="00E23D57">
      <w:pPr>
        <w:kinsoku w:val="0"/>
        <w:overflowPunct w:val="0"/>
        <w:autoSpaceDE/>
        <w:autoSpaceDN/>
        <w:adjustRightInd/>
        <w:spacing w:before="581" w:line="296"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w:t>
      </w:r>
      <w:r>
        <w:rPr>
          <w:rFonts w:ascii="Verdana" w:hAnsi="Verdana" w:cs="Verdana"/>
          <w:sz w:val="24"/>
          <w:szCs w:val="24"/>
          <w:lang w:val="es-ES" w:eastAsia="es-ES"/>
        </w:rPr>
        <w:t>, a las diez horas cuarenta minutos del dos de marzo de dos mil diecisiete.</w:t>
      </w:r>
    </w:p>
    <w:p w:rsidR="00000000" w:rsidRDefault="00E23D57">
      <w:pPr>
        <w:kinsoku w:val="0"/>
        <w:overflowPunct w:val="0"/>
        <w:autoSpaceDE/>
        <w:autoSpaceDN/>
        <w:adjustRightInd/>
        <w:spacing w:before="268" w:line="296" w:lineRule="exact"/>
        <w:ind w:right="144"/>
        <w:jc w:val="both"/>
        <w:textAlignment w:val="baseline"/>
        <w:rPr>
          <w:rFonts w:ascii="Verdana" w:hAnsi="Verdana" w:cs="Verdana"/>
          <w:b/>
          <w:bCs/>
          <w:sz w:val="24"/>
          <w:szCs w:val="24"/>
          <w:lang w:val="es-ES" w:eastAsia="es-ES"/>
        </w:rPr>
      </w:pPr>
      <w:r>
        <w:rPr>
          <w:rFonts w:ascii="Verdana" w:hAnsi="Verdana" w:cs="Verdana"/>
          <w:b/>
          <w:bCs/>
          <w:sz w:val="19"/>
          <w:szCs w:val="19"/>
          <w:lang w:val="es-ES" w:eastAsia="es-ES"/>
        </w:rPr>
        <w:t xml:space="preserve">RECURSOS DE APELACIÓN Y NULIDAD CONCOMITANTE E INCIDENTE DE SUSPENSIÓN, </w:t>
      </w:r>
      <w:r>
        <w:rPr>
          <w:rFonts w:ascii="Verdana" w:hAnsi="Verdana" w:cs="Verdana"/>
          <w:sz w:val="24"/>
          <w:szCs w:val="24"/>
          <w:lang w:val="es-ES" w:eastAsia="es-ES"/>
        </w:rPr>
        <w:t xml:space="preserve">interpuesto por </w:t>
      </w:r>
      <w:r>
        <w:rPr>
          <w:rFonts w:ascii="Verdana" w:hAnsi="Verdana" w:cs="Verdana"/>
          <w:b/>
          <w:bCs/>
          <w:sz w:val="24"/>
          <w:szCs w:val="24"/>
          <w:lang w:val="es-ES" w:eastAsia="es-ES"/>
        </w:rPr>
        <w:t>D</w:t>
      </w:r>
      <w:r w:rsidR="00513DA7">
        <w:rPr>
          <w:rFonts w:ascii="Verdana" w:hAnsi="Verdana" w:cs="Verdana"/>
          <w:b/>
          <w:bCs/>
          <w:sz w:val="24"/>
          <w:szCs w:val="24"/>
          <w:lang w:val="es-ES" w:eastAsia="es-ES"/>
        </w:rPr>
        <w:t>.M.M.</w:t>
      </w:r>
      <w:r>
        <w:rPr>
          <w:rFonts w:ascii="Verdana" w:hAnsi="Verdana" w:cs="Verdana"/>
          <w:b/>
          <w:bCs/>
          <w:sz w:val="24"/>
          <w:szCs w:val="24"/>
          <w:lang w:val="es-ES" w:eastAsia="es-ES"/>
        </w:rPr>
        <w:t xml:space="preserve">, cédula de identidad número </w:t>
      </w:r>
      <w:r w:rsidR="00513DA7">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contra </w:t>
      </w:r>
      <w:r>
        <w:rPr>
          <w:rFonts w:ascii="Verdana" w:hAnsi="Verdana" w:cs="Verdana"/>
          <w:b/>
          <w:bCs/>
          <w:sz w:val="24"/>
          <w:szCs w:val="24"/>
          <w:lang w:val="es-ES" w:eastAsia="es-ES"/>
        </w:rPr>
        <w:t xml:space="preserve">el artículo 8.1 de la </w:t>
      </w:r>
      <w:r>
        <w:rPr>
          <w:rFonts w:ascii="Verdana" w:hAnsi="Verdana" w:cs="Verdana"/>
          <w:b/>
          <w:bCs/>
          <w:sz w:val="24"/>
          <w:szCs w:val="24"/>
          <w:lang w:val="es-ES" w:eastAsia="es-ES"/>
        </w:rPr>
        <w:t xml:space="preserve">Sesión Ordinaria 42-2016 de 01 de setiembre de 2016, celebrado por la Junta Directiva del Consejo de Transporte Público. </w:t>
      </w:r>
      <w:r>
        <w:rPr>
          <w:rFonts w:ascii="Verdana" w:hAnsi="Verdana" w:cs="Verdana"/>
          <w:sz w:val="24"/>
          <w:szCs w:val="24"/>
          <w:lang w:val="es-ES" w:eastAsia="es-ES"/>
        </w:rPr>
        <w:t xml:space="preserve">El caso es tramitado en este Despacho bajo el </w:t>
      </w:r>
      <w:r>
        <w:rPr>
          <w:rFonts w:ascii="Verdana" w:hAnsi="Verdana" w:cs="Verdana"/>
          <w:b/>
          <w:bCs/>
          <w:sz w:val="24"/>
          <w:szCs w:val="24"/>
          <w:lang w:val="es-ES" w:eastAsia="es-ES"/>
        </w:rPr>
        <w:t>Expediente Administrativo No. TAT-192-16</w:t>
      </w:r>
    </w:p>
    <w:p w:rsidR="00000000" w:rsidRDefault="00E23D57">
      <w:pPr>
        <w:kinsoku w:val="0"/>
        <w:overflowPunct w:val="0"/>
        <w:autoSpaceDE/>
        <w:autoSpaceDN/>
        <w:adjustRightInd/>
        <w:spacing w:before="298" w:line="283"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000000" w:rsidRDefault="00E23D57">
      <w:pPr>
        <w:kinsoku w:val="0"/>
        <w:overflowPunct w:val="0"/>
        <w:autoSpaceDE/>
        <w:autoSpaceDN/>
        <w:adjustRightInd/>
        <w:spacing w:before="277" w:line="296"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La Junta Directiva del Conse</w:t>
      </w:r>
      <w:r>
        <w:rPr>
          <w:rFonts w:ascii="Verdana" w:hAnsi="Verdana" w:cs="Verdana"/>
          <w:sz w:val="24"/>
          <w:szCs w:val="24"/>
          <w:lang w:val="es-ES" w:eastAsia="es-ES"/>
        </w:rPr>
        <w:t xml:space="preserve">jo de Transporte Público, mediante </w:t>
      </w:r>
      <w:r>
        <w:rPr>
          <w:rFonts w:ascii="Verdana" w:hAnsi="Verdana" w:cs="Verdana"/>
          <w:b/>
          <w:bCs/>
          <w:sz w:val="24"/>
          <w:szCs w:val="24"/>
          <w:lang w:val="es-ES" w:eastAsia="es-ES"/>
        </w:rPr>
        <w:t xml:space="preserve">artículo 8.1 de la Sesión Ordinaria 42-2016 de 01 de setiembre de 2016, celebrado por la Junta Directiva del Consejo de Transporte Público, </w:t>
      </w:r>
      <w:r>
        <w:rPr>
          <w:rFonts w:ascii="Verdana" w:hAnsi="Verdana" w:cs="Verdana"/>
          <w:sz w:val="24"/>
          <w:szCs w:val="24"/>
          <w:lang w:val="es-ES" w:eastAsia="es-ES"/>
        </w:rPr>
        <w:t>dispuso: (Léanse folios 131 y 132 del expediente administrativo)</w:t>
      </w:r>
    </w:p>
    <w:p w:rsidR="00000000" w:rsidRDefault="00E23D57">
      <w:pPr>
        <w:kinsoku w:val="0"/>
        <w:overflowPunct w:val="0"/>
        <w:autoSpaceDE/>
        <w:autoSpaceDN/>
        <w:adjustRightInd/>
        <w:spacing w:before="240" w:line="192" w:lineRule="exact"/>
        <w:ind w:left="432"/>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"POR TANTO, SE ACUERDA:</w:t>
      </w:r>
    </w:p>
    <w:p w:rsidR="00000000" w:rsidRDefault="00E23D57">
      <w:pPr>
        <w:numPr>
          <w:ilvl w:val="0"/>
          <w:numId w:val="1"/>
        </w:numPr>
        <w:kinsoku w:val="0"/>
        <w:overflowPunct w:val="0"/>
        <w:autoSpaceDE/>
        <w:autoSpaceDN/>
        <w:adjustRightInd/>
        <w:spacing w:before="211" w:line="188"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000000" w:rsidRDefault="00E23D57">
      <w:pPr>
        <w:numPr>
          <w:ilvl w:val="0"/>
          <w:numId w:val="1"/>
        </w:numPr>
        <w:kinsoku w:val="0"/>
        <w:overflowPunct w:val="0"/>
        <w:autoSpaceDE/>
        <w:autoSpaceDN/>
        <w:adjustRightInd/>
        <w:spacing w:line="192"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w:t>
      </w:r>
      <w:r>
        <w:rPr>
          <w:rFonts w:ascii="Verdana" w:hAnsi="Verdana" w:cs="Verdana"/>
          <w:i/>
          <w:iCs/>
          <w:sz w:val="16"/>
          <w:szCs w:val="16"/>
          <w:lang w:val="es-ES" w:eastAsia="es-ES"/>
        </w:rPr>
        <w:t>ar las Consideraciones Generales para la Contratación de Organismos de Inspección para la evaluación del período 2016, así como el correspondiente Manual para la Evaluación de la Calidad para dicho período.</w:t>
      </w:r>
    </w:p>
    <w:p w:rsidR="00000000" w:rsidRDefault="00E23D57">
      <w:pPr>
        <w:numPr>
          <w:ilvl w:val="0"/>
          <w:numId w:val="1"/>
        </w:numPr>
        <w:kinsoku w:val="0"/>
        <w:overflowPunct w:val="0"/>
        <w:autoSpaceDE/>
        <w:autoSpaceDN/>
        <w:adjustRightInd/>
        <w:spacing w:before="7" w:line="194" w:lineRule="exact"/>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Conformar una Comisión que trabaje en la elaborac</w:t>
      </w:r>
      <w:r>
        <w:rPr>
          <w:rFonts w:ascii="Verdana" w:hAnsi="Verdana" w:cs="Verdana"/>
          <w:i/>
          <w:iCs/>
          <w:spacing w:val="-1"/>
          <w:sz w:val="16"/>
          <w:szCs w:val="16"/>
          <w:lang w:val="es-ES" w:eastAsia="es-ES"/>
        </w:rPr>
        <w:t>ión de un proyecto de reglamento que pretenda</w:t>
      </w:r>
    </w:p>
    <w:p w:rsidR="00000000" w:rsidRDefault="00E23D57">
      <w:pPr>
        <w:kinsoku w:val="0"/>
        <w:overflowPunct w:val="0"/>
        <w:autoSpaceDE/>
        <w:autoSpaceDN/>
        <w:adjustRightInd/>
        <w:spacing w:line="188" w:lineRule="exact"/>
        <w:ind w:lef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la modificación del Decreto Ejecutivo No. 28833-MOPT, el cual deberá ser presentado ante la Junta</w:t>
      </w:r>
    </w:p>
    <w:p w:rsidR="00000000" w:rsidRDefault="00E23D57">
      <w:pPr>
        <w:kinsoku w:val="0"/>
        <w:overflowPunct w:val="0"/>
        <w:autoSpaceDE/>
        <w:autoSpaceDN/>
        <w:adjustRightInd/>
        <w:spacing w:line="192" w:lineRule="exact"/>
        <w:ind w:lef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Directiva, a más tardar en la primera semana de diciembre del 2016. Para tal fin, dicha Comisión</w:t>
      </w:r>
    </w:p>
    <w:p w:rsidR="00000000" w:rsidRDefault="00E23D57">
      <w:pPr>
        <w:kinsoku w:val="0"/>
        <w:overflowPunct w:val="0"/>
        <w:autoSpaceDE/>
        <w:autoSpaceDN/>
        <w:adjustRightInd/>
        <w:spacing w:before="2" w:line="194" w:lineRule="exact"/>
        <w:ind w:left="432"/>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deberá</w:t>
      </w:r>
      <w:r>
        <w:rPr>
          <w:rFonts w:ascii="Verdana" w:hAnsi="Verdana" w:cs="Verdana"/>
          <w:i/>
          <w:iCs/>
          <w:spacing w:val="1"/>
          <w:sz w:val="16"/>
          <w:szCs w:val="16"/>
          <w:lang w:val="es-ES" w:eastAsia="es-ES"/>
        </w:rPr>
        <w:t xml:space="preserve"> considerar lo establecido en la Ley No. 8279. La Comisión estará integrada de la siguiente</w:t>
      </w:r>
    </w:p>
    <w:p w:rsidR="00000000" w:rsidRDefault="00E23D57">
      <w:pPr>
        <w:kinsoku w:val="0"/>
        <w:overflowPunct w:val="0"/>
        <w:autoSpaceDE/>
        <w:autoSpaceDN/>
        <w:adjustRightInd/>
        <w:spacing w:line="188" w:lineRule="exact"/>
        <w:ind w:left="432"/>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manera:</w:t>
      </w:r>
    </w:p>
    <w:p w:rsidR="00000000" w:rsidRDefault="00E23D57">
      <w:pPr>
        <w:kinsoku w:val="0"/>
        <w:overflowPunct w:val="0"/>
        <w:autoSpaceDE/>
        <w:autoSpaceDN/>
        <w:adjustRightInd/>
        <w:spacing w:before="7" w:line="194" w:lineRule="exact"/>
        <w:jc w:val="center"/>
        <w:textAlignment w:val="baseline"/>
        <w:rPr>
          <w:rFonts w:ascii="Verdana" w:hAnsi="Verdana" w:cs="Verdana"/>
          <w:i/>
          <w:iCs/>
          <w:sz w:val="16"/>
          <w:szCs w:val="16"/>
          <w:lang w:val="es-ES" w:eastAsia="es-ES"/>
        </w:rPr>
      </w:pPr>
      <w:r>
        <w:rPr>
          <w:rFonts w:ascii="Verdana" w:hAnsi="Verdana" w:cs="Verdana"/>
          <w:i/>
          <w:iCs/>
          <w:sz w:val="16"/>
          <w:szCs w:val="16"/>
          <w:lang w:val="es-ES" w:eastAsia="es-ES"/>
        </w:rPr>
        <w:t>. Sra. Olga Barran</w:t>
      </w:r>
      <w:r>
        <w:rPr>
          <w:rFonts w:ascii="Verdana" w:hAnsi="Verdana" w:cs="Verdana"/>
          <w:i/>
          <w:iCs/>
          <w:sz w:val="16"/>
          <w:szCs w:val="16"/>
          <w:lang w:val="es-ES" w:eastAsia="es-ES"/>
        </w:rPr>
        <w:t>tes Arias, Representante de los Usuarios en la Junta Directiva del Consejo se</w:t>
      </w:r>
    </w:p>
    <w:p w:rsidR="00000000" w:rsidRDefault="00E23D57">
      <w:pPr>
        <w:kinsoku w:val="0"/>
        <w:overflowPunct w:val="0"/>
        <w:autoSpaceDE/>
        <w:autoSpaceDN/>
        <w:adjustRightInd/>
        <w:spacing w:line="187" w:lineRule="exact"/>
        <w:ind w:left="792"/>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transporte Público.</w:t>
      </w:r>
    </w:p>
    <w:p w:rsidR="00000000" w:rsidRDefault="00E23D57">
      <w:pPr>
        <w:kinsoku w:val="0"/>
        <w:overflowPunct w:val="0"/>
        <w:autoSpaceDE/>
        <w:autoSpaceDN/>
        <w:adjustRightInd/>
        <w:spacing w:before="13" w:line="194" w:lineRule="exact"/>
        <w:ind w:left="792"/>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 Ing. Ronny Rodrí</w:t>
      </w:r>
      <w:r>
        <w:rPr>
          <w:rFonts w:ascii="Verdana" w:hAnsi="Verdana" w:cs="Verdana"/>
          <w:i/>
          <w:iCs/>
          <w:spacing w:val="1"/>
          <w:sz w:val="16"/>
          <w:szCs w:val="16"/>
          <w:lang w:val="es-ES" w:eastAsia="es-ES"/>
        </w:rPr>
        <w:t>guez Chaves, Representante del MINAE en la Junta Directiva del Consejo de</w:t>
      </w:r>
    </w:p>
    <w:p w:rsidR="00000000" w:rsidRDefault="00E23D57">
      <w:pPr>
        <w:kinsoku w:val="0"/>
        <w:overflowPunct w:val="0"/>
        <w:autoSpaceDE/>
        <w:autoSpaceDN/>
        <w:adjustRightInd/>
        <w:spacing w:line="182" w:lineRule="exact"/>
        <w:ind w:left="792"/>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Transporte Público.</w:t>
      </w:r>
    </w:p>
    <w:p w:rsidR="00000000" w:rsidRDefault="00E23D57">
      <w:pPr>
        <w:kinsoku w:val="0"/>
        <w:overflowPunct w:val="0"/>
        <w:autoSpaceDE/>
        <w:autoSpaceDN/>
        <w:adjustRightInd/>
        <w:spacing w:before="12" w:line="194" w:lineRule="exact"/>
        <w:jc w:val="center"/>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Licda. Ana Karina Zeledón Lépiz, Directora de Asuntos Económicos de la Defensoría de la</w:t>
      </w:r>
    </w:p>
    <w:p w:rsidR="00000000" w:rsidRDefault="00E23D57">
      <w:pPr>
        <w:kinsoku w:val="0"/>
        <w:overflowPunct w:val="0"/>
        <w:autoSpaceDE/>
        <w:autoSpaceDN/>
        <w:adjustRightInd/>
        <w:spacing w:line="188" w:lineRule="exact"/>
        <w:ind w:left="792"/>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Habitantes.</w:t>
      </w:r>
    </w:p>
    <w:p w:rsidR="00000000" w:rsidRDefault="00E23D57">
      <w:pPr>
        <w:kinsoku w:val="0"/>
        <w:overflowPunct w:val="0"/>
        <w:autoSpaceDE/>
        <w:autoSpaceDN/>
        <w:adjustRightInd/>
        <w:spacing w:before="17" w:line="194" w:lineRule="exact"/>
        <w:jc w:val="center"/>
        <w:textAlignment w:val="baseline"/>
        <w:rPr>
          <w:rFonts w:ascii="Verdana" w:hAnsi="Verdana" w:cs="Verdana"/>
          <w:i/>
          <w:iCs/>
          <w:sz w:val="16"/>
          <w:szCs w:val="16"/>
          <w:lang w:val="es-ES" w:eastAsia="es-ES"/>
        </w:rPr>
      </w:pPr>
      <w:r>
        <w:rPr>
          <w:rFonts w:ascii="Verdana" w:hAnsi="Verdana" w:cs="Verdana"/>
          <w:i/>
          <w:iCs/>
          <w:sz w:val="16"/>
          <w:szCs w:val="16"/>
          <w:lang w:val="es-ES" w:eastAsia="es-ES"/>
        </w:rPr>
        <w:t>Msc. Maritza Madriz Picado. Gerente Ente Costarricense de Acre</w:t>
      </w:r>
      <w:r>
        <w:rPr>
          <w:rFonts w:ascii="Verdana" w:hAnsi="Verdana" w:cs="Verdana"/>
          <w:i/>
          <w:iCs/>
          <w:sz w:val="16"/>
          <w:szCs w:val="16"/>
          <w:lang w:val="es-ES" w:eastAsia="es-ES"/>
        </w:rPr>
        <w:t>ditación (ECA).</w:t>
      </w:r>
    </w:p>
    <w:p w:rsidR="00000000" w:rsidRDefault="00E23D57">
      <w:pPr>
        <w:kinsoku w:val="0"/>
        <w:overflowPunct w:val="0"/>
        <w:autoSpaceDE/>
        <w:autoSpaceDN/>
        <w:adjustRightInd/>
        <w:spacing w:line="189" w:lineRule="exact"/>
        <w:ind w:left="792"/>
        <w:textAlignment w:val="baseline"/>
        <w:rPr>
          <w:rFonts w:ascii="Verdana" w:hAnsi="Verdana" w:cs="Verdana"/>
          <w:i/>
          <w:iCs/>
          <w:sz w:val="16"/>
          <w:szCs w:val="16"/>
          <w:lang w:val="es-ES" w:eastAsia="es-ES"/>
        </w:rPr>
      </w:pPr>
      <w:r>
        <w:rPr>
          <w:rFonts w:ascii="Verdana" w:hAnsi="Verdana" w:cs="Verdana"/>
          <w:i/>
          <w:iCs/>
          <w:sz w:val="16"/>
          <w:szCs w:val="16"/>
          <w:lang w:val="es-ES" w:eastAsia="es-ES"/>
        </w:rPr>
        <w:t>. Ing. Cinthya Jiménez Jiménez. Coordinadora Gestoría de Calidad de ECA.</w:t>
      </w:r>
    </w:p>
    <w:p w:rsidR="00000000" w:rsidRDefault="00E23D57">
      <w:pPr>
        <w:kinsoku w:val="0"/>
        <w:overflowPunct w:val="0"/>
        <w:autoSpaceDE/>
        <w:autoSpaceDN/>
        <w:adjustRightInd/>
        <w:spacing w:before="6" w:line="194" w:lineRule="exact"/>
        <w:ind w:left="792"/>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 Un Representante del Sector de Transporte Remunerado de Personas en la Modalidad de</w:t>
      </w:r>
    </w:p>
    <w:p w:rsidR="00000000" w:rsidRDefault="00E23D57">
      <w:pPr>
        <w:kinsoku w:val="0"/>
        <w:overflowPunct w:val="0"/>
        <w:autoSpaceDE/>
        <w:autoSpaceDN/>
        <w:adjustRightInd/>
        <w:spacing w:line="187" w:lineRule="exact"/>
        <w:ind w:left="792"/>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Autobús.</w:t>
      </w:r>
    </w:p>
    <w:p w:rsidR="00000000" w:rsidRDefault="00E23D57">
      <w:pPr>
        <w:kinsoku w:val="0"/>
        <w:overflowPunct w:val="0"/>
        <w:autoSpaceDE/>
        <w:autoSpaceDN/>
        <w:adjustRightInd/>
        <w:spacing w:before="17" w:line="194" w:lineRule="exact"/>
        <w:jc w:val="center"/>
        <w:textAlignment w:val="baseline"/>
        <w:rPr>
          <w:rFonts w:ascii="Verdana" w:hAnsi="Verdana" w:cs="Verdana"/>
          <w:i/>
          <w:iCs/>
          <w:sz w:val="16"/>
          <w:szCs w:val="16"/>
          <w:lang w:val="es-ES" w:eastAsia="es-ES"/>
        </w:rPr>
      </w:pPr>
      <w:r>
        <w:rPr>
          <w:rFonts w:ascii="Verdana" w:hAnsi="Verdana" w:cs="Verdana"/>
          <w:i/>
          <w:iCs/>
          <w:sz w:val="16"/>
          <w:szCs w:val="16"/>
          <w:lang w:val="es-ES" w:eastAsia="es-ES"/>
        </w:rPr>
        <w:t>. Ing. Aura Álvarez Orozco. Directora Té</w:t>
      </w:r>
      <w:r>
        <w:rPr>
          <w:rFonts w:ascii="Verdana" w:hAnsi="Verdana" w:cs="Verdana"/>
          <w:i/>
          <w:iCs/>
          <w:sz w:val="16"/>
          <w:szCs w:val="16"/>
          <w:lang w:val="es-ES" w:eastAsia="es-ES"/>
        </w:rPr>
        <w:t>cnica del Consejo de Transporte Público.</w:t>
      </w:r>
    </w:p>
    <w:p w:rsidR="00000000" w:rsidRDefault="00E23D57" w:rsidP="00513DA7">
      <w:pPr>
        <w:kinsoku w:val="0"/>
        <w:overflowPunct w:val="0"/>
        <w:autoSpaceDE/>
        <w:autoSpaceDN/>
        <w:adjustRightInd/>
        <w:spacing w:before="8" w:line="194" w:lineRule="exact"/>
        <w:jc w:val="center"/>
        <w:textAlignment w:val="baseline"/>
        <w:rPr>
          <w:rFonts w:ascii="Verdana" w:hAnsi="Verdana" w:cs="Verdana"/>
          <w:i/>
          <w:iCs/>
          <w:sz w:val="16"/>
          <w:szCs w:val="16"/>
          <w:lang w:val="es-ES" w:eastAsia="es-ES"/>
        </w:rPr>
      </w:pPr>
      <w:r>
        <w:rPr>
          <w:rFonts w:ascii="Verdana" w:hAnsi="Verdana" w:cs="Verdana"/>
          <w:i/>
          <w:iCs/>
          <w:sz w:val="16"/>
          <w:szCs w:val="16"/>
          <w:lang w:val="es-ES" w:eastAsia="es-ES"/>
        </w:rPr>
        <w:t>. Licda. Susana López Rivera. Subdirectora Asesoría Jurídica del Consejo de Transporte Público.</w:t>
      </w:r>
    </w:p>
    <w:p w:rsidR="00000000" w:rsidRDefault="00E23D57" w:rsidP="00513DA7">
      <w:pPr>
        <w:numPr>
          <w:ilvl w:val="0"/>
          <w:numId w:val="1"/>
        </w:numPr>
        <w:kinsoku w:val="0"/>
        <w:overflowPunct w:val="0"/>
        <w:autoSpaceDE/>
        <w:autoSpaceDN/>
        <w:adjustRightInd/>
        <w:spacing w:before="5" w:line="194" w:lineRule="exact"/>
        <w:ind w:right="504"/>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t xml:space="preserve">Aprobar la recomendación dada por la Comisión de revisión del </w:t>
      </w:r>
      <w:r>
        <w:rPr>
          <w:rFonts w:ascii="Verdana" w:hAnsi="Verdana" w:cs="Verdana"/>
          <w:b/>
          <w:bCs/>
          <w:i/>
          <w:iCs/>
          <w:sz w:val="16"/>
          <w:szCs w:val="16"/>
          <w:lang w:val="es-ES" w:eastAsia="es-ES"/>
        </w:rPr>
        <w:t>Manual para la Evaluación y Calificación de la Calida</w:t>
      </w:r>
      <w:r>
        <w:rPr>
          <w:rFonts w:ascii="Verdana" w:hAnsi="Verdana" w:cs="Verdana"/>
          <w:b/>
          <w:bCs/>
          <w:i/>
          <w:iCs/>
          <w:sz w:val="16"/>
          <w:szCs w:val="16"/>
          <w:lang w:val="es-ES" w:eastAsia="es-ES"/>
        </w:rPr>
        <w:t>d del Servicio Público de Transporte Remunerado de Personas,</w:t>
      </w:r>
    </w:p>
    <w:p w:rsidR="00000000" w:rsidRDefault="00E23D57">
      <w:pPr>
        <w:widowControl/>
        <w:rPr>
          <w:sz w:val="24"/>
          <w:szCs w:val="24"/>
        </w:rPr>
        <w:sectPr w:rsidR="00000000">
          <w:pgSz w:w="12240" w:h="15840"/>
          <w:pgMar w:top="1540" w:right="1386" w:bottom="230" w:left="1834" w:header="720" w:footer="720" w:gutter="0"/>
          <w:cols w:space="720"/>
          <w:noEndnote/>
        </w:sectPr>
      </w:pPr>
    </w:p>
    <w:p w:rsidR="00000000" w:rsidRDefault="00E23D57">
      <w:pPr>
        <w:kinsoku w:val="0"/>
        <w:overflowPunct w:val="0"/>
        <w:autoSpaceDE/>
        <w:autoSpaceDN/>
        <w:adjustRightInd/>
        <w:spacing w:before="7" w:line="189" w:lineRule="exact"/>
        <w:ind w:left="432"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 xml:space="preserve">relacionada con el valor del peso relativo dado a los diferentes criterios, quedando el mismo de la siguiente manera: "Criterio O", que es el </w:t>
      </w:r>
      <w:r>
        <w:rPr>
          <w:rFonts w:ascii="Verdana" w:hAnsi="Verdana" w:cs="Verdana"/>
          <w:b/>
          <w:bCs/>
          <w:i/>
          <w:iCs/>
          <w:sz w:val="16"/>
          <w:szCs w:val="16"/>
          <w:lang w:val="es-ES" w:eastAsia="es-ES"/>
        </w:rPr>
        <w:t xml:space="preserve">operativo, </w:t>
      </w:r>
      <w:r>
        <w:rPr>
          <w:rFonts w:ascii="Verdana" w:hAnsi="Verdana" w:cs="Verdana"/>
          <w:i/>
          <w:iCs/>
          <w:sz w:val="16"/>
          <w:szCs w:val="16"/>
          <w:lang w:val="es-ES" w:eastAsia="es-ES"/>
        </w:rPr>
        <w:t xml:space="preserve">un 45%; el "Criterio A" que es el de la </w:t>
      </w:r>
      <w:r>
        <w:rPr>
          <w:rFonts w:ascii="Verdana" w:hAnsi="Verdana" w:cs="Verdana"/>
          <w:b/>
          <w:bCs/>
          <w:i/>
          <w:iCs/>
          <w:sz w:val="16"/>
          <w:szCs w:val="16"/>
          <w:lang w:val="es-ES" w:eastAsia="es-ES"/>
        </w:rPr>
        <w:t xml:space="preserve">Administración, </w:t>
      </w:r>
      <w:r>
        <w:rPr>
          <w:rFonts w:ascii="Verdana" w:hAnsi="Verdana" w:cs="Verdana"/>
          <w:i/>
          <w:iCs/>
          <w:sz w:val="16"/>
          <w:szCs w:val="16"/>
          <w:lang w:val="es-ES" w:eastAsia="es-ES"/>
        </w:rPr>
        <w:t xml:space="preserve">un 10%; y el "Criterio U" que es el del </w:t>
      </w:r>
      <w:r>
        <w:rPr>
          <w:rFonts w:ascii="Verdana" w:hAnsi="Verdana" w:cs="Verdana"/>
          <w:b/>
          <w:bCs/>
          <w:i/>
          <w:iCs/>
          <w:sz w:val="16"/>
          <w:szCs w:val="16"/>
          <w:lang w:val="es-ES" w:eastAsia="es-ES"/>
        </w:rPr>
        <w:t xml:space="preserve">usuario, </w:t>
      </w:r>
      <w:r>
        <w:rPr>
          <w:rFonts w:ascii="Verdana" w:hAnsi="Verdana" w:cs="Verdana"/>
          <w:i/>
          <w:iCs/>
          <w:sz w:val="16"/>
          <w:szCs w:val="16"/>
          <w:lang w:val="es-ES" w:eastAsia="es-ES"/>
        </w:rPr>
        <w:t>el restante 45%.</w:t>
      </w:r>
    </w:p>
    <w:p w:rsidR="00000000" w:rsidRDefault="00E23D57">
      <w:pPr>
        <w:numPr>
          <w:ilvl w:val="0"/>
          <w:numId w:val="2"/>
        </w:numPr>
        <w:kinsoku w:val="0"/>
        <w:overflowPunct w:val="0"/>
        <w:autoSpaceDE/>
        <w:autoSpaceDN/>
        <w:adjustRightInd/>
        <w:spacing w:before="15" w:line="192" w:lineRule="exact"/>
        <w:ind w:right="504"/>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 xml:space="preserve">Disponer el reconocimiento del costo del estudio establecido en las </w:t>
      </w:r>
      <w:r>
        <w:rPr>
          <w:rFonts w:ascii="Verdana" w:hAnsi="Verdana" w:cs="Verdana"/>
          <w:b/>
          <w:bCs/>
          <w:i/>
          <w:iCs/>
          <w:spacing w:val="-1"/>
          <w:sz w:val="16"/>
          <w:szCs w:val="16"/>
          <w:lang w:val="es-ES" w:eastAsia="es-ES"/>
        </w:rPr>
        <w:t>Consideraciones Generales para la Contratación de Organismos d</w:t>
      </w:r>
      <w:r>
        <w:rPr>
          <w:rFonts w:ascii="Verdana" w:hAnsi="Verdana" w:cs="Verdana"/>
          <w:b/>
          <w:bCs/>
          <w:i/>
          <w:iCs/>
          <w:spacing w:val="-1"/>
          <w:sz w:val="16"/>
          <w:szCs w:val="16"/>
          <w:lang w:val="es-ES" w:eastAsia="es-ES"/>
        </w:rPr>
        <w:t xml:space="preserve">e Inspección para la evaluación del período 2016 y el Manual para la Evaluación y Calificación de la Calidad del Servicio Público de Transporte Remunerado de Personas, </w:t>
      </w:r>
      <w:r>
        <w:rPr>
          <w:rFonts w:ascii="Verdana" w:hAnsi="Verdana" w:cs="Verdana"/>
          <w:i/>
          <w:iCs/>
          <w:spacing w:val="-1"/>
          <w:sz w:val="16"/>
          <w:szCs w:val="16"/>
          <w:lang w:val="es-ES" w:eastAsia="es-ES"/>
        </w:rPr>
        <w:t>vía tarifaria, en relación con la contratación de organismos de inspección acreditados a</w:t>
      </w:r>
      <w:r>
        <w:rPr>
          <w:rFonts w:ascii="Verdana" w:hAnsi="Verdana" w:cs="Verdana"/>
          <w:i/>
          <w:iCs/>
          <w:spacing w:val="-1"/>
          <w:sz w:val="16"/>
          <w:szCs w:val="16"/>
          <w:lang w:val="es-ES" w:eastAsia="es-ES"/>
        </w:rPr>
        <w:t>nte la ECA por parte de los concesionarios y los permisionarios para el cumplimiento de dicho estudio.</w:t>
      </w:r>
    </w:p>
    <w:p w:rsidR="00000000" w:rsidRDefault="00E23D57">
      <w:pPr>
        <w:numPr>
          <w:ilvl w:val="0"/>
          <w:numId w:val="2"/>
        </w:numPr>
        <w:kinsoku w:val="0"/>
        <w:overflowPunct w:val="0"/>
        <w:autoSpaceDE/>
        <w:autoSpaceDN/>
        <w:adjustRightInd/>
        <w:spacing w:before="10" w:line="193"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caso que no exista capacidad instalada por parte de los Organismos de Inspecció</w:t>
      </w:r>
      <w:r>
        <w:rPr>
          <w:rFonts w:ascii="Verdana" w:hAnsi="Verdana" w:cs="Verdana"/>
          <w:i/>
          <w:iCs/>
          <w:sz w:val="16"/>
          <w:szCs w:val="16"/>
          <w:lang w:val="es-ES" w:eastAsia="es-ES"/>
        </w:rPr>
        <w:t>n acreditados ante la ECA, o que aun existiendo dicha capacidad, la misma no sea suficiente para cubrir la cantidad de estudios que conlleva el transporte público en la modalidad de autobús y busetas, de manera excepcional y por única vez, se autoriza la r</w:t>
      </w:r>
      <w:r>
        <w:rPr>
          <w:rFonts w:ascii="Verdana" w:hAnsi="Verdana" w:cs="Verdana"/>
          <w:i/>
          <w:iCs/>
          <w:sz w:val="16"/>
          <w:szCs w:val="16"/>
          <w:lang w:val="es-ES" w:eastAsia="es-ES"/>
        </w:rPr>
        <w:t>ealización del estudio de calidad, por parte de órganos no acreditados, para lo cual, los concesionarios y permisionarios deberán demostrar dicha circunstancia, aportando ante el Consejo de Transporte Púbico el documento idóneo emitido por la ECA, tal y co</w:t>
      </w:r>
      <w:r>
        <w:rPr>
          <w:rFonts w:ascii="Verdana" w:hAnsi="Verdana" w:cs="Verdana"/>
          <w:i/>
          <w:iCs/>
          <w:sz w:val="16"/>
          <w:szCs w:val="16"/>
          <w:lang w:val="es-ES" w:eastAsia="es-ES"/>
        </w:rPr>
        <w:t>mo se expresa en el considerando sétimo del presente acuerdo. Asimismo, el reconocimiento del costo de dicho estudio, se hará considerando el arancel establecido por el Colegio Profesional que corresponda.</w:t>
      </w:r>
    </w:p>
    <w:p w:rsidR="00000000" w:rsidRDefault="00E23D57">
      <w:pPr>
        <w:numPr>
          <w:ilvl w:val="0"/>
          <w:numId w:val="2"/>
        </w:numPr>
        <w:kinsoku w:val="0"/>
        <w:overflowPunct w:val="0"/>
        <w:autoSpaceDE/>
        <w:autoSpaceDN/>
        <w:adjustRightInd/>
        <w:spacing w:before="13" w:line="193" w:lineRule="exact"/>
        <w:ind w:right="504"/>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Notifíquese: Dirección Ejecutiva a los correos </w:t>
      </w:r>
      <w:hyperlink r:id="rId5" w:history="1">
        <w:r>
          <w:rPr>
            <w:rFonts w:ascii="Verdana" w:hAnsi="Verdana" w:cs="Verdana"/>
            <w:i/>
            <w:iCs/>
            <w:color w:val="0000FF"/>
            <w:sz w:val="16"/>
            <w:szCs w:val="16"/>
            <w:u w:val="single"/>
            <w:lang w:val="es-ES" w:eastAsia="es-ES"/>
          </w:rPr>
          <w:t>mfallas@ctp.go.cr</w:t>
        </w:r>
      </w:hyperlink>
      <w:r>
        <w:rPr>
          <w:rFonts w:ascii="Verdana" w:hAnsi="Verdana" w:cs="Verdana"/>
          <w:i/>
          <w:iCs/>
          <w:sz w:val="16"/>
          <w:szCs w:val="16"/>
          <w:lang w:val="es-ES" w:eastAsia="es-ES"/>
        </w:rPr>
        <w:t xml:space="preserve"> y </w:t>
      </w:r>
      <w:hyperlink r:id="rId6" w:history="1">
        <w:r>
          <w:rPr>
            <w:rFonts w:ascii="Verdana" w:hAnsi="Verdana" w:cs="Verdana"/>
            <w:i/>
            <w:iCs/>
            <w:color w:val="0000FF"/>
            <w:sz w:val="16"/>
            <w:szCs w:val="16"/>
            <w:u w:val="single"/>
            <w:lang w:val="es-ES" w:eastAsia="es-ES"/>
          </w:rPr>
          <w:t>sfonseca@ctp.go.cr</w:t>
        </w:r>
      </w:hyperlink>
      <w:r>
        <w:rPr>
          <w:rFonts w:ascii="Verdana" w:hAnsi="Verdana" w:cs="Verdana"/>
          <w:i/>
          <w:iCs/>
          <w:sz w:val="16"/>
          <w:szCs w:val="16"/>
          <w:lang w:val="es-ES" w:eastAsia="es-ES"/>
        </w:rPr>
        <w:t xml:space="preserve"> / Dirección Técnica al correo </w:t>
      </w:r>
      <w:hyperlink r:id="rId7" w:history="1">
        <w:r>
          <w:rPr>
            <w:rFonts w:ascii="Verdana" w:hAnsi="Verdana" w:cs="Verdana"/>
            <w:i/>
            <w:iCs/>
            <w:color w:val="0000FF"/>
            <w:sz w:val="16"/>
            <w:szCs w:val="16"/>
            <w:u w:val="single"/>
            <w:lang w:val="es-ES" w:eastAsia="es-ES"/>
          </w:rPr>
          <w:t>a</w:t>
        </w:r>
        <w:r>
          <w:rPr>
            <w:rFonts w:ascii="Verdana" w:hAnsi="Verdana" w:cs="Verdana"/>
            <w:i/>
            <w:iCs/>
            <w:color w:val="0000FF"/>
            <w:sz w:val="16"/>
            <w:szCs w:val="16"/>
            <w:u w:val="single"/>
            <w:lang w:val="es-ES" w:eastAsia="es-ES"/>
          </w:rPr>
          <w:t>orozco@ctp.go.cr</w:t>
        </w:r>
      </w:hyperlink>
      <w:r>
        <w:rPr>
          <w:rFonts w:ascii="Verdana" w:hAnsi="Verdana" w:cs="Verdana"/>
          <w:i/>
          <w:iCs/>
          <w:sz w:val="16"/>
          <w:szCs w:val="16"/>
          <w:lang w:val="es-ES" w:eastAsia="es-ES"/>
        </w:rPr>
        <w:t xml:space="preserve"> / Dirección Jurídica a los correos </w:t>
      </w:r>
      <w:hyperlink r:id="rId8" w:history="1">
        <w:r>
          <w:rPr>
            <w:rFonts w:ascii="Verdana" w:hAnsi="Verdana" w:cs="Verdana"/>
            <w:i/>
            <w:iCs/>
            <w:color w:val="0000FF"/>
            <w:sz w:val="16"/>
            <w:szCs w:val="16"/>
            <w:u w:val="single"/>
            <w:lang w:val="es-ES" w:eastAsia="es-ES"/>
          </w:rPr>
          <w:t>scerdas@ctp.go.cr</w:t>
        </w:r>
      </w:hyperlink>
      <w:r>
        <w:rPr>
          <w:rFonts w:ascii="Verdana" w:hAnsi="Verdana" w:cs="Verdana"/>
          <w:i/>
          <w:iCs/>
          <w:sz w:val="16"/>
          <w:szCs w:val="16"/>
          <w:lang w:val="es-ES" w:eastAsia="es-ES"/>
        </w:rPr>
        <w:t xml:space="preserve"> y </w:t>
      </w:r>
      <w:hyperlink r:id="rId9" w:history="1">
        <w:r>
          <w:rPr>
            <w:rFonts w:ascii="Verdana" w:hAnsi="Verdana" w:cs="Verdana"/>
            <w:i/>
            <w:iCs/>
            <w:color w:val="0000FF"/>
            <w:sz w:val="16"/>
            <w:szCs w:val="16"/>
            <w:u w:val="single"/>
            <w:lang w:val="es-ES" w:eastAsia="es-ES"/>
          </w:rPr>
          <w:t>slopez@ctp.go.cr</w:t>
        </w:r>
      </w:hyperlink>
      <w:r>
        <w:rPr>
          <w:rFonts w:ascii="Verdana" w:hAnsi="Verdana" w:cs="Verdana"/>
          <w:i/>
          <w:iCs/>
          <w:sz w:val="16"/>
          <w:szCs w:val="16"/>
          <w:lang w:val="es-ES" w:eastAsia="es-ES"/>
        </w:rPr>
        <w:t xml:space="preserve"> / TODOS LOS CONCESIONARIOS DE RUTA REGULAR / Ing. Ronny Rodríguez Chaves al correo </w:t>
      </w:r>
      <w:hyperlink r:id="rId10" w:history="1">
        <w:r>
          <w:rPr>
            <w:rFonts w:ascii="Verdana" w:hAnsi="Verdana" w:cs="Verdana"/>
            <w:i/>
            <w:iCs/>
            <w:color w:val="0000FF"/>
            <w:sz w:val="16"/>
            <w:szCs w:val="16"/>
            <w:u w:val="single"/>
            <w:lang w:val="es-ES" w:eastAsia="es-ES"/>
          </w:rPr>
          <w:t>rrodriguez@sigminaet.go.cr</w:t>
        </w:r>
      </w:hyperlink>
      <w:r>
        <w:rPr>
          <w:rFonts w:ascii="Verdana" w:hAnsi="Verdana" w:cs="Verdana"/>
          <w:i/>
          <w:iCs/>
          <w:sz w:val="16"/>
          <w:szCs w:val="16"/>
          <w:lang w:val="es-ES" w:eastAsia="es-ES"/>
        </w:rPr>
        <w:t xml:space="preserve"> / Sector Transporte Remunerado de Personas en la modalidad Autobús al correo </w:t>
      </w:r>
      <w:hyperlink r:id="rId11" w:history="1">
        <w:r>
          <w:rPr>
            <w:rFonts w:ascii="Verdana" w:hAnsi="Verdana" w:cs="Verdana"/>
            <w:i/>
            <w:iCs/>
            <w:color w:val="0000FF"/>
            <w:sz w:val="16"/>
            <w:szCs w:val="16"/>
            <w:u w:val="single"/>
            <w:lang w:val="es-ES" w:eastAsia="es-ES"/>
          </w:rPr>
          <w:t>repretrans2014@gmail.com</w:t>
        </w:r>
      </w:hyperlink>
      <w:r>
        <w:rPr>
          <w:rFonts w:ascii="Verdana" w:hAnsi="Verdana" w:cs="Verdana"/>
          <w:i/>
          <w:iCs/>
          <w:sz w:val="16"/>
          <w:szCs w:val="16"/>
          <w:lang w:val="es-ES" w:eastAsia="es-ES"/>
        </w:rPr>
        <w:t xml:space="preserve"> / Licda. Ana Karina Zeledón Lépiz a los correos </w:t>
      </w:r>
      <w:hyperlink r:id="rId12" w:history="1">
        <w:r>
          <w:rPr>
            <w:rFonts w:ascii="Verdana" w:hAnsi="Verdana" w:cs="Verdana"/>
            <w:i/>
            <w:iCs/>
            <w:color w:val="0000FF"/>
            <w:sz w:val="16"/>
            <w:szCs w:val="16"/>
            <w:u w:val="single"/>
            <w:lang w:val="es-ES" w:eastAsia="es-ES"/>
          </w:rPr>
          <w:t>kzeledon@dhr.go.cr</w:t>
        </w:r>
      </w:hyperlink>
      <w:r>
        <w:rPr>
          <w:rFonts w:ascii="Verdana" w:hAnsi="Verdana" w:cs="Verdana"/>
          <w:i/>
          <w:iCs/>
          <w:sz w:val="16"/>
          <w:szCs w:val="16"/>
          <w:lang w:val="es-ES" w:eastAsia="es-ES"/>
        </w:rPr>
        <w:t xml:space="preserve"> y </w:t>
      </w:r>
      <w:hyperlink r:id="rId13" w:history="1">
        <w:r>
          <w:rPr>
            <w:rFonts w:ascii="Verdana" w:hAnsi="Verdana" w:cs="Verdana"/>
            <w:i/>
            <w:iCs/>
            <w:color w:val="0000FF"/>
            <w:sz w:val="16"/>
            <w:szCs w:val="16"/>
            <w:u w:val="single"/>
            <w:lang w:val="es-ES" w:eastAsia="es-ES"/>
          </w:rPr>
          <w:t>rmeza@dhr.go.cr</w:t>
        </w:r>
      </w:hyperlink>
      <w:r>
        <w:rPr>
          <w:rFonts w:ascii="Verdana" w:hAnsi="Verdana" w:cs="Verdana"/>
          <w:i/>
          <w:iCs/>
          <w:sz w:val="16"/>
          <w:szCs w:val="16"/>
          <w:lang w:val="es-ES" w:eastAsia="es-ES"/>
        </w:rPr>
        <w:t xml:space="preserve"> / Msc. Maritza Madriz Picado e Ing. Cinthya Jiménez Jiménez a los correos </w:t>
      </w:r>
      <w:hyperlink r:id="rId14" w:history="1">
        <w:r>
          <w:rPr>
            <w:rFonts w:ascii="Verdana" w:hAnsi="Verdana" w:cs="Verdana"/>
            <w:i/>
            <w:iCs/>
            <w:color w:val="0000FF"/>
            <w:sz w:val="16"/>
            <w:szCs w:val="16"/>
            <w:u w:val="single"/>
            <w:lang w:val="es-ES" w:eastAsia="es-ES"/>
          </w:rPr>
          <w:t>m.madriz@eca.or.cr</w:t>
        </w:r>
      </w:hyperlink>
      <w:r>
        <w:rPr>
          <w:rFonts w:ascii="Verdana" w:hAnsi="Verdana" w:cs="Verdana"/>
          <w:i/>
          <w:iCs/>
          <w:sz w:val="16"/>
          <w:szCs w:val="16"/>
          <w:lang w:val="es-ES" w:eastAsia="es-ES"/>
        </w:rPr>
        <w:t xml:space="preserve"> y </w:t>
      </w:r>
      <w:hyperlink r:id="rId15" w:history="1">
        <w:r>
          <w:rPr>
            <w:rFonts w:ascii="Verdana" w:hAnsi="Verdana" w:cs="Verdana"/>
            <w:i/>
            <w:iCs/>
            <w:color w:val="0000FF"/>
            <w:sz w:val="16"/>
            <w:szCs w:val="16"/>
            <w:u w:val="single"/>
            <w:lang w:val="es-ES" w:eastAsia="es-ES"/>
          </w:rPr>
          <w:t>gerencia@eca.or.cr</w:t>
        </w:r>
      </w:hyperlink>
      <w:r>
        <w:rPr>
          <w:rFonts w:ascii="Verdana" w:hAnsi="Verdana" w:cs="Verdana"/>
          <w:i/>
          <w:iCs/>
          <w:sz w:val="16"/>
          <w:szCs w:val="16"/>
          <w:lang w:val="es-ES" w:eastAsia="es-ES"/>
        </w:rPr>
        <w:t xml:space="preserve"> y al fax: 2232-6593 / Sra. Olga Barrantes al correo </w:t>
      </w:r>
      <w:hyperlink r:id="rId16" w:history="1">
        <w:r>
          <w:rPr>
            <w:rFonts w:ascii="Verdana" w:hAnsi="Verdana" w:cs="Verdana"/>
            <w:i/>
            <w:iCs/>
            <w:color w:val="0000FF"/>
            <w:sz w:val="16"/>
            <w:szCs w:val="16"/>
            <w:u w:val="single"/>
            <w:lang w:val="es-ES" w:eastAsia="es-ES"/>
          </w:rPr>
          <w:t>obarrantes05@gmail.com</w:t>
        </w:r>
      </w:hyperlink>
      <w:r>
        <w:rPr>
          <w:rFonts w:ascii="Verdana" w:hAnsi="Verdana" w:cs="Verdana"/>
          <w:i/>
          <w:iCs/>
          <w:sz w:val="16"/>
          <w:szCs w:val="16"/>
          <w:lang w:val="es-ES" w:eastAsia="es-ES"/>
        </w:rPr>
        <w:t xml:space="preserve"> /</w:t>
      </w:r>
    </w:p>
    <w:p w:rsidR="00000000" w:rsidRDefault="00E23D57">
      <w:pPr>
        <w:numPr>
          <w:ilvl w:val="0"/>
          <w:numId w:val="3"/>
        </w:numPr>
        <w:kinsoku w:val="0"/>
        <w:overflowPunct w:val="0"/>
        <w:autoSpaceDE/>
        <w:autoSpaceDN/>
        <w:adjustRightInd/>
        <w:spacing w:before="5" w:line="191" w:lineRule="exact"/>
        <w:jc w:val="both"/>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Se declara firme."</w:t>
      </w:r>
    </w:p>
    <w:p w:rsidR="00000000" w:rsidRDefault="00E23D57">
      <w:pPr>
        <w:kinsoku w:val="0"/>
        <w:overflowPunct w:val="0"/>
        <w:autoSpaceDE/>
        <w:autoSpaceDN/>
        <w:adjustRightInd/>
        <w:spacing w:before="469" w:line="293" w:lineRule="exact"/>
        <w:ind w:lef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SEGUNDO: </w:t>
      </w:r>
      <w:r>
        <w:rPr>
          <w:rFonts w:ascii="Verdana" w:hAnsi="Verdana" w:cs="Verdana"/>
          <w:sz w:val="24"/>
          <w:szCs w:val="24"/>
          <w:lang w:val="es-ES" w:eastAsia="es-ES"/>
        </w:rPr>
        <w:t xml:space="preserve">El señor </w:t>
      </w:r>
      <w:r>
        <w:rPr>
          <w:rFonts w:ascii="Verdana" w:hAnsi="Verdana" w:cs="Verdana"/>
          <w:b/>
          <w:bCs/>
          <w:sz w:val="24"/>
          <w:szCs w:val="24"/>
          <w:lang w:val="es-ES" w:eastAsia="es-ES"/>
        </w:rPr>
        <w:t>D</w:t>
      </w:r>
      <w:r w:rsidR="00513DA7">
        <w:rPr>
          <w:rFonts w:ascii="Verdana" w:hAnsi="Verdana" w:cs="Verdana"/>
          <w:b/>
          <w:bCs/>
          <w:sz w:val="24"/>
          <w:szCs w:val="24"/>
          <w:lang w:val="es-ES" w:eastAsia="es-ES"/>
        </w:rPr>
        <w:t>.M.M.</w:t>
      </w:r>
      <w:r>
        <w:rPr>
          <w:rFonts w:ascii="Verdana" w:hAnsi="Verdana" w:cs="Verdana"/>
          <w:b/>
          <w:bCs/>
          <w:sz w:val="24"/>
          <w:szCs w:val="24"/>
          <w:lang w:val="es-ES" w:eastAsia="es-ES"/>
        </w:rPr>
        <w:t xml:space="preserve">, cédula de identidad número </w:t>
      </w:r>
      <w:r w:rsidR="00513DA7">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permisionario de la ruta 1208, se presenta, el día 5 de diciembre de 2016 ante el Tribunal Administrativo de Transporte y manifiesta en lo conducente, que en el acto se da por notificado del ac</w:t>
      </w:r>
      <w:r>
        <w:rPr>
          <w:rFonts w:ascii="Verdana" w:hAnsi="Verdana" w:cs="Verdana"/>
          <w:sz w:val="24"/>
          <w:szCs w:val="24"/>
          <w:lang w:val="es-ES" w:eastAsia="es-ES"/>
        </w:rPr>
        <w:t>uerdo impugnado ya que el Consejo no lo comunicó a los permisionarios de ruta. Manifiesta que se opone al acuerdo por cuanto el ECA, respecto a los entes acreditados, mantiene la gran mayoría en el área de la ingeniería civil, pero en modo alguno tiene acr</w:t>
      </w:r>
      <w:r>
        <w:rPr>
          <w:rFonts w:ascii="Verdana" w:hAnsi="Verdana" w:cs="Verdana"/>
          <w:sz w:val="24"/>
          <w:szCs w:val="24"/>
          <w:lang w:val="es-ES" w:eastAsia="es-ES"/>
        </w:rPr>
        <w:t>editados en estudios de transporte público, lo cual no es procedente dado la seriedad de la evaluación y calificación de la calidad del servicio y en las acreditaciones del ECA, los organismos lo están en áreas muy distintas a la requerida, lo que resta cr</w:t>
      </w:r>
      <w:r>
        <w:rPr>
          <w:rFonts w:ascii="Verdana" w:hAnsi="Verdana" w:cs="Verdana"/>
          <w:sz w:val="24"/>
          <w:szCs w:val="24"/>
          <w:lang w:val="es-ES" w:eastAsia="es-ES"/>
        </w:rPr>
        <w:t>edibilidad, además de ser insuficientes para la demanda de empresas de transporte remunerado de personas que la requerirán y de esto es consiente el CTP. Es inconcebible que el empresario que es quién pagará los estudios, no pueda escoger al más idóneo sin</w:t>
      </w:r>
      <w:r>
        <w:rPr>
          <w:rFonts w:ascii="Verdana" w:hAnsi="Verdana" w:cs="Verdana"/>
          <w:sz w:val="24"/>
          <w:szCs w:val="24"/>
          <w:lang w:val="es-ES" w:eastAsia="es-ES"/>
        </w:rPr>
        <w:t>o aceptar la imposición del ECA, aunque ésta misma sabe que no tienen la competencia requerida. Refiere entonces tener una gran reserva sobre la capacidad de los estudios de órganos acreditados en asfalto y construcción respecto de estudios sobre la calida</w:t>
      </w:r>
      <w:r>
        <w:rPr>
          <w:rFonts w:ascii="Verdana" w:hAnsi="Verdana" w:cs="Verdana"/>
          <w:sz w:val="24"/>
          <w:szCs w:val="24"/>
          <w:lang w:val="es-ES" w:eastAsia="es-ES"/>
        </w:rPr>
        <w:t>d del servicio. Finalmente señala que el acto es nulo y debe aplicársele el numeral 160 de la Ley General de la Administración Pública al ser un acto discrecional y contrario a la lógica, la ciencia, la justicia y la conveniencia y al no existir en el país</w:t>
      </w:r>
      <w:r>
        <w:rPr>
          <w:rFonts w:ascii="Verdana" w:hAnsi="Verdana" w:cs="Verdana"/>
          <w:sz w:val="24"/>
          <w:szCs w:val="24"/>
          <w:lang w:val="es-ES" w:eastAsia="es-ES"/>
        </w:rPr>
        <w:t xml:space="preserve"> el conocimiento requerido y estar los estudios en un pequeño grupo de empresas acreditadas, cuya expertis en la materia no es la debida y al tener derecho de escoger los empresarios de buses por ser quienes pagan y no poderlo hacer , es que el acuerdo es </w:t>
      </w:r>
      <w:r>
        <w:rPr>
          <w:rFonts w:ascii="Verdana" w:hAnsi="Verdana" w:cs="Verdana"/>
          <w:sz w:val="24"/>
          <w:szCs w:val="24"/>
          <w:lang w:val="es-ES" w:eastAsia="es-ES"/>
        </w:rPr>
        <w:t>nulo. (Léanse folios del 1 al 10 del expediente administrativo)</w:t>
      </w:r>
    </w:p>
    <w:p w:rsidR="00000000" w:rsidRDefault="00E23D57">
      <w:pPr>
        <w:widowControl/>
        <w:rPr>
          <w:sz w:val="24"/>
          <w:szCs w:val="24"/>
        </w:rPr>
        <w:sectPr w:rsidR="00000000">
          <w:pgSz w:w="12240" w:h="15840"/>
          <w:pgMar w:top="880" w:right="1548" w:bottom="364" w:left="1672" w:header="720" w:footer="720" w:gutter="0"/>
          <w:cols w:space="720"/>
          <w:noEndnote/>
        </w:sectPr>
      </w:pPr>
    </w:p>
    <w:p w:rsidR="00000000" w:rsidRDefault="00E23D57">
      <w:pPr>
        <w:kinsoku w:val="0"/>
        <w:overflowPunct w:val="0"/>
        <w:autoSpaceDE/>
        <w:autoSpaceDN/>
        <w:adjustRightInd/>
        <w:spacing w:before="8" w:line="298"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lastRenderedPageBreak/>
        <w:t xml:space="preserve">TERCERO: </w:t>
      </w:r>
      <w:r>
        <w:rPr>
          <w:rFonts w:ascii="Verdana" w:hAnsi="Verdana" w:cs="Verdana"/>
          <w:sz w:val="24"/>
          <w:szCs w:val="24"/>
          <w:lang w:val="es-ES" w:eastAsia="es-ES"/>
        </w:rPr>
        <w:t>En los procedimientos seguidos se han observado las prescripciones legales.</w:t>
      </w:r>
    </w:p>
    <w:p w:rsidR="00000000" w:rsidRDefault="00E23D57">
      <w:pPr>
        <w:kinsoku w:val="0"/>
        <w:overflowPunct w:val="0"/>
        <w:autoSpaceDE/>
        <w:autoSpaceDN/>
        <w:adjustRightInd/>
        <w:spacing w:before="290" w:line="286"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Redacta la Jueza Pérez Peláez;</w:t>
      </w:r>
    </w:p>
    <w:p w:rsidR="00000000" w:rsidRDefault="00E23D57">
      <w:pPr>
        <w:kinsoku w:val="0"/>
        <w:overflowPunct w:val="0"/>
        <w:autoSpaceDE/>
        <w:autoSpaceDN/>
        <w:adjustRightInd/>
        <w:spacing w:before="298" w:line="286" w:lineRule="exact"/>
        <w:ind w:left="72" w:righ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CONSIDERANDO</w:t>
      </w:r>
    </w:p>
    <w:p w:rsidR="00000000" w:rsidRDefault="00E23D57">
      <w:pPr>
        <w:numPr>
          <w:ilvl w:val="0"/>
          <w:numId w:val="4"/>
        </w:numPr>
        <w:kinsoku w:val="0"/>
        <w:overflowPunct w:val="0"/>
        <w:autoSpaceDE/>
        <w:autoSpaceDN/>
        <w:adjustRightInd/>
        <w:spacing w:before="595"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COMPETENCIA: </w:t>
      </w:r>
      <w:r>
        <w:rPr>
          <w:rFonts w:ascii="Verdana" w:hAnsi="Verdana" w:cs="Verdana"/>
          <w:sz w:val="24"/>
          <w:szCs w:val="24"/>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w:t>
      </w:r>
      <w:r>
        <w:rPr>
          <w:rFonts w:ascii="Verdana" w:hAnsi="Verdana" w:cs="Verdana"/>
          <w:sz w:val="24"/>
          <w:szCs w:val="24"/>
          <w:lang w:val="es-ES" w:eastAsia="es-ES"/>
        </w:rPr>
        <w:t>ansporte es el competente para conocer y resolver el presente recurso de apelación en subsidio, nulidad concomitante y solicitud de suspensión del acto administrativo.</w:t>
      </w:r>
    </w:p>
    <w:p w:rsidR="00000000" w:rsidRDefault="00E23D57">
      <w:pPr>
        <w:numPr>
          <w:ilvl w:val="0"/>
          <w:numId w:val="5"/>
        </w:numPr>
        <w:kinsoku w:val="0"/>
        <w:overflowPunct w:val="0"/>
        <w:autoSpaceDE/>
        <w:autoSpaceDN/>
        <w:adjustRightInd/>
        <w:spacing w:before="290"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ADMISIBILIDAD DEL RECURSO: </w:t>
      </w:r>
      <w:r>
        <w:rPr>
          <w:rFonts w:ascii="Verdana" w:hAnsi="Verdana" w:cs="Verdana"/>
          <w:b/>
          <w:bCs/>
          <w:sz w:val="24"/>
          <w:szCs w:val="24"/>
          <w:u w:val="single"/>
          <w:lang w:val="es-ES" w:eastAsia="es-ES"/>
        </w:rPr>
        <w:t>En cuanto a la  Legitimación:</w:t>
      </w:r>
      <w:r>
        <w:rPr>
          <w:rFonts w:ascii="Verdana" w:hAnsi="Verdana" w:cs="Verdana"/>
          <w:sz w:val="24"/>
          <w:szCs w:val="24"/>
          <w:lang w:val="es-ES" w:eastAsia="es-ES"/>
        </w:rPr>
        <w:t xml:space="preserve"> El señor </w:t>
      </w:r>
      <w:r>
        <w:rPr>
          <w:rFonts w:ascii="Verdana" w:hAnsi="Verdana" w:cs="Verdana"/>
          <w:b/>
          <w:bCs/>
          <w:sz w:val="24"/>
          <w:szCs w:val="24"/>
          <w:lang w:val="es-ES" w:eastAsia="es-ES"/>
        </w:rPr>
        <w:t>D</w:t>
      </w:r>
      <w:r w:rsidR="00513DA7">
        <w:rPr>
          <w:rFonts w:ascii="Verdana" w:hAnsi="Verdana" w:cs="Verdana"/>
          <w:b/>
          <w:bCs/>
          <w:sz w:val="24"/>
          <w:szCs w:val="24"/>
          <w:lang w:val="es-ES" w:eastAsia="es-ES"/>
        </w:rPr>
        <w:t>.M.M.</w:t>
      </w:r>
      <w:r>
        <w:rPr>
          <w:rFonts w:ascii="Verdana" w:hAnsi="Verdana" w:cs="Verdana"/>
          <w:b/>
          <w:bCs/>
          <w:sz w:val="24"/>
          <w:szCs w:val="24"/>
          <w:lang w:val="es-ES" w:eastAsia="es-ES"/>
        </w:rPr>
        <w:t xml:space="preserve">, cédula de identidad número </w:t>
      </w:r>
      <w:r w:rsidR="00513DA7">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en su condición de permisionario de la Ruta número 1208, cuenta con la Legitimación suficiente para actuar en el presente asunto. </w:t>
      </w:r>
      <w:r>
        <w:rPr>
          <w:rFonts w:ascii="Verdana" w:hAnsi="Verdana" w:cs="Verdana"/>
          <w:b/>
          <w:bCs/>
          <w:sz w:val="24"/>
          <w:szCs w:val="24"/>
          <w:u w:val="single"/>
          <w:lang w:val="es-ES" w:eastAsia="es-ES"/>
        </w:rPr>
        <w:t>En cuanto al plazo:</w:t>
      </w:r>
      <w:r>
        <w:rPr>
          <w:rFonts w:ascii="Verdana" w:hAnsi="Verdana" w:cs="Verdana"/>
          <w:sz w:val="24"/>
          <w:szCs w:val="24"/>
          <w:lang w:val="es-ES" w:eastAsia="es-ES"/>
        </w:rPr>
        <w:t xml:space="preserve"> Conforme al estudio efectuado el Recurso de Apelac</w:t>
      </w:r>
      <w:r>
        <w:rPr>
          <w:rFonts w:ascii="Verdana" w:hAnsi="Verdana" w:cs="Verdana"/>
          <w:sz w:val="24"/>
          <w:szCs w:val="24"/>
          <w:lang w:val="es-ES" w:eastAsia="es-ES"/>
        </w:rPr>
        <w:t>ión fue presentado dentro del plazo legal establecido para tal fin, en los términos del artículo 11 de la Ley 7969. Dado que según las actas de notificación que eleva el Consejo de Transporte Público no se extrae que le hayan notificado al recurrente.</w:t>
      </w:r>
    </w:p>
    <w:p w:rsidR="00000000" w:rsidRDefault="00E23D57">
      <w:pPr>
        <w:numPr>
          <w:ilvl w:val="0"/>
          <w:numId w:val="4"/>
        </w:numPr>
        <w:kinsoku w:val="0"/>
        <w:overflowPunct w:val="0"/>
        <w:autoSpaceDE/>
        <w:autoSpaceDN/>
        <w:adjustRightInd/>
        <w:spacing w:before="290"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LOS HECHOS PROBADOS: </w:t>
      </w:r>
      <w:r>
        <w:rPr>
          <w:rFonts w:ascii="Verdana" w:hAnsi="Verdana" w:cs="Verdana"/>
          <w:sz w:val="24"/>
          <w:szCs w:val="24"/>
          <w:lang w:val="es-ES" w:eastAsia="es-ES"/>
        </w:rPr>
        <w:t xml:space="preserve">De importancia para la decisión de este asunto, se estiman como debidamente demostrados los siguientes hechos por cuanto así han sido acreditados: </w:t>
      </w:r>
      <w:r>
        <w:rPr>
          <w:rFonts w:ascii="Verdana" w:hAnsi="Verdana" w:cs="Verdana"/>
          <w:b/>
          <w:bCs/>
          <w:sz w:val="24"/>
          <w:szCs w:val="24"/>
          <w:lang w:val="es-ES" w:eastAsia="es-ES"/>
        </w:rPr>
        <w:t xml:space="preserve">A).- </w:t>
      </w:r>
      <w:r>
        <w:rPr>
          <w:rFonts w:ascii="Verdana" w:hAnsi="Verdana" w:cs="Verdana"/>
          <w:sz w:val="24"/>
          <w:szCs w:val="24"/>
          <w:lang w:val="es-ES" w:eastAsia="es-ES"/>
        </w:rPr>
        <w:t xml:space="preserve">La Junta Directiva del Consejo de Transporte Público, mediante el </w:t>
      </w:r>
      <w:r>
        <w:rPr>
          <w:rFonts w:ascii="Verdana" w:hAnsi="Verdana" w:cs="Verdana"/>
          <w:b/>
          <w:bCs/>
          <w:sz w:val="24"/>
          <w:szCs w:val="24"/>
          <w:lang w:val="es-ES" w:eastAsia="es-ES"/>
        </w:rPr>
        <w:t xml:space="preserve">artículo </w:t>
      </w:r>
      <w:r>
        <w:rPr>
          <w:rFonts w:ascii="Verdana" w:hAnsi="Verdana" w:cs="Verdana"/>
          <w:b/>
          <w:bCs/>
          <w:sz w:val="24"/>
          <w:szCs w:val="24"/>
          <w:lang w:val="es-ES" w:eastAsia="es-ES"/>
        </w:rPr>
        <w:t xml:space="preserve">8.1 de la Sesión Ordinaria 42-2016 de 01 de setiembre de 2016, </w:t>
      </w:r>
      <w:r>
        <w:rPr>
          <w:rFonts w:ascii="Verdana" w:hAnsi="Verdana" w:cs="Verdana"/>
          <w:sz w:val="24"/>
          <w:szCs w:val="24"/>
          <w:lang w:val="es-ES" w:eastAsia="es-ES"/>
        </w:rPr>
        <w:t>aprueba las consideraciones generales para la contratación de organismos de inspección para la evaluación del período 2016, así como el correspondiente Manual para la Evaluación de la Calidad p</w:t>
      </w:r>
      <w:r>
        <w:rPr>
          <w:rFonts w:ascii="Verdana" w:hAnsi="Verdana" w:cs="Verdana"/>
          <w:sz w:val="24"/>
          <w:szCs w:val="24"/>
          <w:lang w:val="es-ES" w:eastAsia="es-ES"/>
        </w:rPr>
        <w:t>ara dicho período. (Léanse folios 131 y 132 del expediente administrativo)</w:t>
      </w:r>
    </w:p>
    <w:p w:rsidR="00000000" w:rsidRDefault="00E23D57">
      <w:pPr>
        <w:kinsoku w:val="0"/>
        <w:overflowPunct w:val="0"/>
        <w:autoSpaceDE/>
        <w:autoSpaceDN/>
        <w:adjustRightInd/>
        <w:spacing w:before="316" w:line="291" w:lineRule="exact"/>
        <w:ind w:left="72" w:righ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B).- </w:t>
      </w:r>
      <w:r>
        <w:rPr>
          <w:rFonts w:ascii="Verdana" w:hAnsi="Verdana" w:cs="Verdana"/>
          <w:spacing w:val="-3"/>
          <w:sz w:val="24"/>
          <w:szCs w:val="24"/>
          <w:lang w:val="es-ES" w:eastAsia="es-ES"/>
        </w:rPr>
        <w:t xml:space="preserve">La empresa recurrente presenta Recurso de Apelación y nulidad contra el acuerdo impugnado indicando entre otros que el </w:t>
      </w:r>
      <w:r>
        <w:rPr>
          <w:rFonts w:ascii="Verdana" w:hAnsi="Verdana" w:cs="Verdana"/>
          <w:b/>
          <w:bCs/>
          <w:spacing w:val="-3"/>
          <w:sz w:val="24"/>
          <w:szCs w:val="24"/>
          <w:lang w:val="es-ES" w:eastAsia="es-ES"/>
        </w:rPr>
        <w:t xml:space="preserve">ECA, </w:t>
      </w:r>
      <w:r>
        <w:rPr>
          <w:rFonts w:ascii="Verdana" w:hAnsi="Verdana" w:cs="Verdana"/>
          <w:spacing w:val="-3"/>
          <w:sz w:val="24"/>
          <w:szCs w:val="24"/>
          <w:lang w:val="es-ES" w:eastAsia="es-ES"/>
        </w:rPr>
        <w:t>no cuenta con los organismos especializados en la ma</w:t>
      </w:r>
      <w:r>
        <w:rPr>
          <w:rFonts w:ascii="Verdana" w:hAnsi="Verdana" w:cs="Verdana"/>
          <w:spacing w:val="-3"/>
          <w:sz w:val="24"/>
          <w:szCs w:val="24"/>
          <w:lang w:val="es-ES" w:eastAsia="es-ES"/>
        </w:rPr>
        <w:t>teria de Transporte Público y mucho menos con la cantidad requerida para realizar todos los estudios del caso. (Léanse folios del 1 al 10 del expediente administrativo).</w:t>
      </w:r>
    </w:p>
    <w:p w:rsidR="00000000" w:rsidRDefault="00E23D57" w:rsidP="00513DA7">
      <w:pPr>
        <w:kinsoku w:val="0"/>
        <w:overflowPunct w:val="0"/>
        <w:autoSpaceDE/>
        <w:autoSpaceDN/>
        <w:adjustRightInd/>
        <w:spacing w:line="280" w:lineRule="exact"/>
        <w:ind w:left="5040" w:right="72"/>
        <w:jc w:val="both"/>
        <w:textAlignment w:val="baseline"/>
        <w:rPr>
          <w:spacing w:val="4"/>
          <w:sz w:val="21"/>
          <w:szCs w:val="21"/>
          <w:lang w:val="es-ES" w:eastAsia="es-ES"/>
        </w:rPr>
      </w:pPr>
    </w:p>
    <w:p w:rsidR="00000000" w:rsidRDefault="00E23D57">
      <w:pPr>
        <w:widowControl/>
        <w:rPr>
          <w:sz w:val="24"/>
          <w:szCs w:val="24"/>
        </w:rPr>
        <w:sectPr w:rsidR="00000000">
          <w:pgSz w:w="12240" w:h="15840"/>
          <w:pgMar w:top="2780" w:right="1478" w:bottom="240" w:left="1742" w:header="720" w:footer="720" w:gutter="0"/>
          <w:cols w:space="720"/>
          <w:noEndnote/>
        </w:sectPr>
      </w:pPr>
    </w:p>
    <w:p w:rsidR="00000000" w:rsidRDefault="00E23D57">
      <w:pPr>
        <w:numPr>
          <w:ilvl w:val="0"/>
          <w:numId w:val="6"/>
        </w:numPr>
        <w:kinsoku w:val="0"/>
        <w:overflowPunct w:val="0"/>
        <w:autoSpaceDE/>
        <w:autoSpaceDN/>
        <w:adjustRightInd/>
        <w:spacing w:before="16" w:line="292"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Se tiene demostrado que es obligació</w:t>
      </w:r>
      <w:r>
        <w:rPr>
          <w:rFonts w:ascii="Verdana" w:hAnsi="Verdana" w:cs="Verdana"/>
          <w:sz w:val="24"/>
          <w:szCs w:val="24"/>
          <w:lang w:val="es-ES" w:eastAsia="es-ES"/>
        </w:rPr>
        <w:t xml:space="preserve">n del Consejo de Transporte Público, realizar la avaluación de la calidad, a través de los órganos acreditados ante el </w:t>
      </w:r>
      <w:r>
        <w:rPr>
          <w:rFonts w:ascii="Verdana" w:hAnsi="Verdana" w:cs="Verdana"/>
          <w:b/>
          <w:bCs/>
          <w:sz w:val="24"/>
          <w:szCs w:val="24"/>
          <w:lang w:val="es-ES" w:eastAsia="es-ES"/>
        </w:rPr>
        <w:t xml:space="preserve">ECA, </w:t>
      </w:r>
      <w:r>
        <w:rPr>
          <w:rFonts w:ascii="Verdana" w:hAnsi="Verdana" w:cs="Verdana"/>
          <w:sz w:val="24"/>
          <w:szCs w:val="24"/>
          <w:lang w:val="es-ES" w:eastAsia="es-ES"/>
        </w:rPr>
        <w:t>de conformidad con lo establecido en la Ley 8279, Ley del Sistema Nacional para la Calidad, en su artículo 34.</w:t>
      </w:r>
    </w:p>
    <w:p w:rsidR="00000000" w:rsidRDefault="00E23D57">
      <w:pPr>
        <w:numPr>
          <w:ilvl w:val="0"/>
          <w:numId w:val="6"/>
        </w:numPr>
        <w:kinsoku w:val="0"/>
        <w:overflowPunct w:val="0"/>
        <w:autoSpaceDE/>
        <w:autoSpaceDN/>
        <w:adjustRightInd/>
        <w:spacing w:before="288" w:line="292" w:lineRule="exact"/>
        <w:ind w:right="144"/>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Se tiene por demostra</w:t>
      </w:r>
      <w:r>
        <w:rPr>
          <w:rFonts w:ascii="Verdana" w:hAnsi="Verdana" w:cs="Verdana"/>
          <w:spacing w:val="-4"/>
          <w:sz w:val="24"/>
          <w:szCs w:val="24"/>
          <w:lang w:val="es-ES" w:eastAsia="es-ES"/>
        </w:rPr>
        <w:t>do que el Consejo de Transporte Público dejó abierta la posibilidad de que en caso que no exista capacidad instalada por parte de los Organismos de Inspección acreditados ante la ECA, o que existiendo no sea suficiente para cubrir la cantidad de estudios s</w:t>
      </w:r>
      <w:r>
        <w:rPr>
          <w:rFonts w:ascii="Verdana" w:hAnsi="Verdana" w:cs="Verdana"/>
          <w:spacing w:val="-4"/>
          <w:sz w:val="24"/>
          <w:szCs w:val="24"/>
          <w:lang w:val="es-ES" w:eastAsia="es-ES"/>
        </w:rPr>
        <w:t>e autoriza la realización del estudio de calidad, por parte de órganos no acreditados. (ver acuerdo impugnado folios 15 y 16 del expediente administrativo)</w:t>
      </w:r>
    </w:p>
    <w:p w:rsidR="00000000" w:rsidRDefault="00E23D57">
      <w:pPr>
        <w:numPr>
          <w:ilvl w:val="0"/>
          <w:numId w:val="7"/>
        </w:numPr>
        <w:kinsoku w:val="0"/>
        <w:overflowPunct w:val="0"/>
        <w:autoSpaceDE/>
        <w:autoSpaceDN/>
        <w:adjustRightInd/>
        <w:spacing w:before="277" w:line="292" w:lineRule="exact"/>
        <w:ind w:right="144"/>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w:t>
      </w:r>
      <w:r>
        <w:rPr>
          <w:rFonts w:ascii="Verdana" w:hAnsi="Verdana" w:cs="Verdana"/>
          <w:sz w:val="24"/>
          <w:szCs w:val="24"/>
          <w:lang w:val="es-ES" w:eastAsia="es-ES"/>
        </w:rPr>
        <w:t>n dispuso, en el inciso 5, del acuerdo impugnado, respecto del costo de los estudios, su reconocimiento vía tarifaria.</w:t>
      </w:r>
    </w:p>
    <w:p w:rsidR="00000000" w:rsidRDefault="00E23D57">
      <w:pPr>
        <w:numPr>
          <w:ilvl w:val="0"/>
          <w:numId w:val="8"/>
        </w:numPr>
        <w:kinsoku w:val="0"/>
        <w:overflowPunct w:val="0"/>
        <w:autoSpaceDE/>
        <w:autoSpaceDN/>
        <w:adjustRightInd/>
        <w:spacing w:before="293" w:line="292"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HECHOS NO PROBADOS: </w:t>
      </w:r>
      <w:r>
        <w:rPr>
          <w:rFonts w:ascii="Verdana" w:hAnsi="Verdana" w:cs="Verdana"/>
          <w:sz w:val="24"/>
          <w:szCs w:val="24"/>
          <w:lang w:val="es-ES" w:eastAsia="es-ES"/>
        </w:rPr>
        <w:t>Ninguno de importancia para la resolución del presente asunto.</w:t>
      </w:r>
    </w:p>
    <w:p w:rsidR="00000000" w:rsidRDefault="00E23D57">
      <w:pPr>
        <w:numPr>
          <w:ilvl w:val="0"/>
          <w:numId w:val="8"/>
        </w:numPr>
        <w:kinsoku w:val="0"/>
        <w:overflowPunct w:val="0"/>
        <w:autoSpaceDE/>
        <w:autoSpaceDN/>
        <w:adjustRightInd/>
        <w:spacing w:line="575" w:lineRule="exact"/>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FONDO:</w:t>
      </w:r>
      <w:r>
        <w:rPr>
          <w:rFonts w:ascii="Verdana" w:hAnsi="Verdana" w:cs="Verdana"/>
          <w:b/>
          <w:bCs/>
          <w:sz w:val="24"/>
          <w:szCs w:val="24"/>
          <w:lang w:val="es-ES" w:eastAsia="es-ES"/>
        </w:rPr>
        <w:br/>
        <w:t>OBJETO DEL RECURSO</w:t>
      </w:r>
    </w:p>
    <w:p w:rsidR="00000000" w:rsidRDefault="00E23D57">
      <w:pPr>
        <w:kinsoku w:val="0"/>
        <w:overflowPunct w:val="0"/>
        <w:autoSpaceDE/>
        <w:autoSpaceDN/>
        <w:adjustRightInd/>
        <w:spacing w:before="291" w:line="292" w:lineRule="exact"/>
        <w:ind w:left="72" w:right="144"/>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El presente R</w:t>
      </w:r>
      <w:r>
        <w:rPr>
          <w:rFonts w:ascii="Verdana" w:hAnsi="Verdana" w:cs="Verdana"/>
          <w:spacing w:val="-3"/>
          <w:sz w:val="24"/>
          <w:szCs w:val="24"/>
          <w:lang w:val="es-ES" w:eastAsia="es-ES"/>
        </w:rPr>
        <w:t xml:space="preserve">ecurso de Apelación, tiene como objeto la revocación del </w:t>
      </w:r>
      <w:r>
        <w:rPr>
          <w:rFonts w:ascii="Verdana" w:hAnsi="Verdana" w:cs="Verdana"/>
          <w:b/>
          <w:bCs/>
          <w:spacing w:val="-3"/>
          <w:sz w:val="24"/>
          <w:szCs w:val="24"/>
          <w:lang w:val="es-ES" w:eastAsia="es-ES"/>
        </w:rPr>
        <w:t xml:space="preserve">artículo 8.1 de la Sesión Ordinaria 42-2016 de 01 de setiembre de 2015, celebrado por la Junta Directiva del Consejo de Transporte Público, </w:t>
      </w:r>
      <w:r>
        <w:rPr>
          <w:rFonts w:ascii="Verdana" w:hAnsi="Verdana" w:cs="Verdana"/>
          <w:spacing w:val="-3"/>
          <w:sz w:val="24"/>
          <w:szCs w:val="24"/>
          <w:lang w:val="es-ES" w:eastAsia="es-ES"/>
        </w:rPr>
        <w:t>de modo que no se exija al recurrente la utilización de órg</w:t>
      </w:r>
      <w:r>
        <w:rPr>
          <w:rFonts w:ascii="Verdana" w:hAnsi="Verdana" w:cs="Verdana"/>
          <w:spacing w:val="-3"/>
          <w:sz w:val="24"/>
          <w:szCs w:val="24"/>
          <w:lang w:val="es-ES" w:eastAsia="es-ES"/>
        </w:rPr>
        <w:t>anos acreditados por el ECA, para la realización de los estudios sobre evaluación de la calidad.</w:t>
      </w:r>
    </w:p>
    <w:p w:rsidR="00000000" w:rsidRDefault="00E23D57">
      <w:pPr>
        <w:kinsoku w:val="0"/>
        <w:overflowPunct w:val="0"/>
        <w:autoSpaceDE/>
        <w:autoSpaceDN/>
        <w:adjustRightInd/>
        <w:spacing w:before="285" w:line="271" w:lineRule="exact"/>
        <w:ind w:left="72"/>
        <w:textAlignment w:val="baseline"/>
        <w:rPr>
          <w:rFonts w:ascii="Verdana" w:hAnsi="Verdana" w:cs="Verdana"/>
          <w:b/>
          <w:bCs/>
          <w:spacing w:val="-13"/>
          <w:sz w:val="24"/>
          <w:szCs w:val="24"/>
          <w:lang w:val="es-ES" w:eastAsia="es-ES"/>
        </w:rPr>
      </w:pPr>
      <w:r>
        <w:rPr>
          <w:rFonts w:ascii="Verdana" w:hAnsi="Verdana" w:cs="Verdana"/>
          <w:b/>
          <w:bCs/>
          <w:spacing w:val="-13"/>
          <w:sz w:val="24"/>
          <w:szCs w:val="24"/>
          <w:lang w:val="es-ES" w:eastAsia="es-ES"/>
        </w:rPr>
        <w:t>DE LOS ALEGATOS DEL RECURRENTE</w:t>
      </w:r>
    </w:p>
    <w:p w:rsidR="00000000" w:rsidRDefault="00E23D57">
      <w:pPr>
        <w:kinsoku w:val="0"/>
        <w:overflowPunct w:val="0"/>
        <w:autoSpaceDE/>
        <w:autoSpaceDN/>
        <w:adjustRightInd/>
        <w:spacing w:before="314" w:line="291" w:lineRule="exact"/>
        <w:ind w:left="72" w:right="144"/>
        <w:jc w:val="both"/>
        <w:textAlignment w:val="baseline"/>
        <w:rPr>
          <w:rFonts w:ascii="Verdana" w:hAnsi="Verdana" w:cs="Verdana"/>
          <w:spacing w:val="-5"/>
          <w:sz w:val="24"/>
          <w:szCs w:val="24"/>
          <w:lang w:val="es-ES" w:eastAsia="es-ES"/>
        </w:rPr>
      </w:pPr>
      <w:r>
        <w:rPr>
          <w:rFonts w:ascii="Verdana" w:hAnsi="Verdana" w:cs="Verdana"/>
          <w:spacing w:val="-5"/>
          <w:sz w:val="24"/>
          <w:szCs w:val="24"/>
          <w:lang w:val="es-ES" w:eastAsia="es-ES"/>
        </w:rPr>
        <w:t xml:space="preserve">El señor </w:t>
      </w:r>
      <w:r>
        <w:rPr>
          <w:rFonts w:ascii="Verdana" w:hAnsi="Verdana" w:cs="Verdana"/>
          <w:b/>
          <w:bCs/>
          <w:spacing w:val="-5"/>
          <w:sz w:val="24"/>
          <w:szCs w:val="24"/>
          <w:lang w:val="es-ES" w:eastAsia="es-ES"/>
        </w:rPr>
        <w:t>D</w:t>
      </w:r>
      <w:r w:rsidR="00513DA7">
        <w:rPr>
          <w:rFonts w:ascii="Verdana" w:hAnsi="Verdana" w:cs="Verdana"/>
          <w:b/>
          <w:bCs/>
          <w:spacing w:val="-5"/>
          <w:sz w:val="24"/>
          <w:szCs w:val="24"/>
          <w:lang w:val="es-ES" w:eastAsia="es-ES"/>
        </w:rPr>
        <w:t>.M.M.</w:t>
      </w:r>
      <w:r>
        <w:rPr>
          <w:rFonts w:ascii="Verdana" w:hAnsi="Verdana" w:cs="Verdana"/>
          <w:b/>
          <w:bCs/>
          <w:spacing w:val="-5"/>
          <w:sz w:val="24"/>
          <w:szCs w:val="24"/>
          <w:lang w:val="es-ES" w:eastAsia="es-ES"/>
        </w:rPr>
        <w:t xml:space="preserve">, cédula de identidad número </w:t>
      </w:r>
      <w:r w:rsidR="00513DA7">
        <w:rPr>
          <w:rFonts w:ascii="Verdana" w:hAnsi="Verdana" w:cs="Verdana"/>
          <w:b/>
          <w:bCs/>
          <w:spacing w:val="-5"/>
          <w:sz w:val="24"/>
          <w:szCs w:val="24"/>
          <w:lang w:val="es-ES" w:eastAsia="es-ES"/>
        </w:rPr>
        <w:t>…,</w:t>
      </w:r>
      <w:r>
        <w:rPr>
          <w:rFonts w:ascii="Verdana" w:hAnsi="Verdana" w:cs="Verdana"/>
          <w:b/>
          <w:bCs/>
          <w:spacing w:val="-5"/>
          <w:sz w:val="24"/>
          <w:szCs w:val="24"/>
          <w:lang w:val="es-ES" w:eastAsia="es-ES"/>
        </w:rPr>
        <w:t xml:space="preserve"> </w:t>
      </w:r>
      <w:r>
        <w:rPr>
          <w:rFonts w:ascii="Verdana" w:hAnsi="Verdana" w:cs="Verdana"/>
          <w:spacing w:val="-5"/>
          <w:sz w:val="24"/>
          <w:szCs w:val="24"/>
          <w:lang w:val="es-ES" w:eastAsia="es-ES"/>
        </w:rPr>
        <w:t>permisionario de la Ruta Número 1208, se presenta, el dí</w:t>
      </w:r>
      <w:r>
        <w:rPr>
          <w:rFonts w:ascii="Verdana" w:hAnsi="Verdana" w:cs="Verdana"/>
          <w:spacing w:val="-5"/>
          <w:sz w:val="24"/>
          <w:szCs w:val="24"/>
          <w:lang w:val="es-ES" w:eastAsia="es-ES"/>
        </w:rPr>
        <w:t>a 5 de diciembre de 2016 ante el Tribunal Administrativo de Transporte y manifiesta en lo conducente, que en el acto se da por notificado del acuerdo impugnado ya que el Consejo no lo comunicó a los permisionarios de ruta. Manifiesta que se opone al acuerd</w:t>
      </w:r>
      <w:r>
        <w:rPr>
          <w:rFonts w:ascii="Verdana" w:hAnsi="Verdana" w:cs="Verdana"/>
          <w:spacing w:val="-5"/>
          <w:sz w:val="24"/>
          <w:szCs w:val="24"/>
          <w:lang w:val="es-ES" w:eastAsia="es-ES"/>
        </w:rPr>
        <w:t>o por cuanto el ECA, en cuanto a los entes acreditados, mantiene la gran mayoría en el área de la ingeniería civil, pero en modo alguno tiene acreditados en estudios de transporte público, lo cual no es procedente dado la seriedad de la evaluación y califi</w:t>
      </w:r>
      <w:r>
        <w:rPr>
          <w:rFonts w:ascii="Verdana" w:hAnsi="Verdana" w:cs="Verdana"/>
          <w:spacing w:val="-5"/>
          <w:sz w:val="24"/>
          <w:szCs w:val="24"/>
          <w:lang w:val="es-ES" w:eastAsia="es-ES"/>
        </w:rPr>
        <w:t xml:space="preserve">cación de la calidad del servicio y en las acreditaciones del ECA, los organismos lo están en áreas muy distintas a la requerida lo que resta credibilidad, además de ser insuficientes para la demanda de empresas de Transporte remunerado de personas que la </w:t>
      </w:r>
      <w:r>
        <w:rPr>
          <w:rFonts w:ascii="Verdana" w:hAnsi="Verdana" w:cs="Verdana"/>
          <w:spacing w:val="-5"/>
          <w:sz w:val="24"/>
          <w:szCs w:val="24"/>
          <w:lang w:val="es-ES" w:eastAsia="es-ES"/>
        </w:rPr>
        <w:t>requerirán y de esto es consiente el CTP. Es inconcebible que el empresario que es quién pagará los estudios, no pueda escoger al más idóneo sino aceptar la imposición del ECA, aunque ésta misma sabe que no tienen la</w:t>
      </w:r>
    </w:p>
    <w:p w:rsidR="00000000" w:rsidRDefault="00E23D57">
      <w:pPr>
        <w:widowControl/>
        <w:rPr>
          <w:sz w:val="24"/>
          <w:szCs w:val="24"/>
        </w:rPr>
        <w:sectPr w:rsidR="00000000">
          <w:pgSz w:w="12240" w:h="15840"/>
          <w:pgMar w:top="1120" w:right="1531" w:bottom="384" w:left="1689" w:header="720" w:footer="720" w:gutter="0"/>
          <w:cols w:space="720"/>
          <w:noEndnote/>
        </w:sectPr>
      </w:pPr>
    </w:p>
    <w:p w:rsidR="00000000" w:rsidRDefault="00E23D57">
      <w:pPr>
        <w:kinsoku w:val="0"/>
        <w:overflowPunct w:val="0"/>
        <w:autoSpaceDE/>
        <w:autoSpaceDN/>
        <w:adjustRightInd/>
        <w:spacing w:before="15"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comp</w:t>
      </w:r>
      <w:r>
        <w:rPr>
          <w:rFonts w:ascii="Verdana" w:hAnsi="Verdana" w:cs="Verdana"/>
          <w:sz w:val="24"/>
          <w:szCs w:val="24"/>
          <w:lang w:val="es-ES" w:eastAsia="es-ES"/>
        </w:rPr>
        <w:t>etencia requerida. Refiere entonces tener una gran reserva sobre la capacidad de los estudios de órganos acreditados en asfalto y construcción respecto de estudios sobre la calidad del servicio. Finalmente señala que el acto es nulo y debe aplicársele el n</w:t>
      </w:r>
      <w:r>
        <w:rPr>
          <w:rFonts w:ascii="Verdana" w:hAnsi="Verdana" w:cs="Verdana"/>
          <w:sz w:val="24"/>
          <w:szCs w:val="24"/>
          <w:lang w:val="es-ES" w:eastAsia="es-ES"/>
        </w:rPr>
        <w:t>umeral 160 de la Ley General de la Administración Pública al ser un acto discrecional y contrario a la lógica la ciencia la justicia y la conveniencia y al no existir en el país el conocimiento requerido y estar los estudios en un pequeño grupo de empresas</w:t>
      </w:r>
      <w:r>
        <w:rPr>
          <w:rFonts w:ascii="Verdana" w:hAnsi="Verdana" w:cs="Verdana"/>
          <w:sz w:val="24"/>
          <w:szCs w:val="24"/>
          <w:lang w:val="es-ES" w:eastAsia="es-ES"/>
        </w:rPr>
        <w:t xml:space="preserve"> acreditadas, cuya expertis en la materia no es la debida y al tener derecho de escoger los empresarios de buses por ser quienes pagan y no poderlo hacer, es que el acuerdo es nulo.</w:t>
      </w:r>
    </w:p>
    <w:p w:rsidR="00000000" w:rsidRDefault="00E23D57">
      <w:pPr>
        <w:kinsoku w:val="0"/>
        <w:overflowPunct w:val="0"/>
        <w:autoSpaceDE/>
        <w:autoSpaceDN/>
        <w:adjustRightInd/>
        <w:spacing w:before="254" w:line="281" w:lineRule="exact"/>
        <w:ind w:left="72" w:right="72"/>
        <w:textAlignment w:val="baseline"/>
        <w:rPr>
          <w:rFonts w:ascii="Verdana" w:hAnsi="Verdana" w:cs="Verdana"/>
          <w:b/>
          <w:bCs/>
          <w:spacing w:val="-13"/>
          <w:sz w:val="24"/>
          <w:szCs w:val="24"/>
          <w:lang w:val="es-ES" w:eastAsia="es-ES"/>
        </w:rPr>
      </w:pPr>
      <w:r>
        <w:rPr>
          <w:rFonts w:ascii="Verdana" w:hAnsi="Verdana" w:cs="Verdana"/>
          <w:b/>
          <w:bCs/>
          <w:spacing w:val="-13"/>
          <w:sz w:val="24"/>
          <w:szCs w:val="24"/>
          <w:lang w:val="es-ES" w:eastAsia="es-ES"/>
        </w:rPr>
        <w:t>DE LO ACTUADO POR EL CONSEJO DE TRANSPORTE PÚBLICO</w:t>
      </w:r>
    </w:p>
    <w:p w:rsidR="00000000" w:rsidRDefault="00E23D57">
      <w:pPr>
        <w:kinsoku w:val="0"/>
        <w:overflowPunct w:val="0"/>
        <w:autoSpaceDE/>
        <w:autoSpaceDN/>
        <w:adjustRightInd/>
        <w:spacing w:before="268"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Junta Directiva del </w:t>
      </w:r>
      <w:r>
        <w:rPr>
          <w:rFonts w:ascii="Verdana" w:hAnsi="Verdana" w:cs="Verdana"/>
          <w:sz w:val="24"/>
          <w:szCs w:val="24"/>
          <w:lang w:val="es-ES" w:eastAsia="es-ES"/>
        </w:rPr>
        <w:t xml:space="preserve">Consejo de Transporte Público, mediante el </w:t>
      </w:r>
      <w:r>
        <w:rPr>
          <w:rFonts w:ascii="Verdana" w:hAnsi="Verdana" w:cs="Verdana"/>
          <w:b/>
          <w:bCs/>
          <w:sz w:val="24"/>
          <w:szCs w:val="24"/>
          <w:lang w:val="es-ES" w:eastAsia="es-ES"/>
        </w:rPr>
        <w:t xml:space="preserve">artículo 8.1 de la Sesión Ordinaria 42-2016 de 01 de setiembre de 2016, </w:t>
      </w:r>
      <w:r>
        <w:rPr>
          <w:rFonts w:ascii="Verdana" w:hAnsi="Verdana" w:cs="Verdana"/>
          <w:sz w:val="24"/>
          <w:szCs w:val="24"/>
          <w:lang w:val="es-ES" w:eastAsia="es-ES"/>
        </w:rPr>
        <w:t>aprueba las consideraciones generales para la contratación de organismos de inspección para la evaluación del período 2016, así como el corre</w:t>
      </w:r>
      <w:r>
        <w:rPr>
          <w:rFonts w:ascii="Verdana" w:hAnsi="Verdana" w:cs="Verdana"/>
          <w:sz w:val="24"/>
          <w:szCs w:val="24"/>
          <w:lang w:val="es-ES" w:eastAsia="es-ES"/>
        </w:rPr>
        <w:t>spondiente Manual para la Evaluación de la Calidad para dicho período.</w:t>
      </w:r>
    </w:p>
    <w:p w:rsidR="00000000" w:rsidRDefault="00E23D57">
      <w:pPr>
        <w:kinsoku w:val="0"/>
        <w:overflowPunct w:val="0"/>
        <w:autoSpaceDE/>
        <w:autoSpaceDN/>
        <w:adjustRightInd/>
        <w:spacing w:before="268" w:line="276" w:lineRule="exact"/>
        <w:ind w:left="72" w:right="72"/>
        <w:textAlignment w:val="baseline"/>
        <w:rPr>
          <w:rFonts w:ascii="Verdana" w:hAnsi="Verdana" w:cs="Verdana"/>
          <w:b/>
          <w:bCs/>
          <w:spacing w:val="-13"/>
          <w:sz w:val="24"/>
          <w:szCs w:val="24"/>
          <w:lang w:val="es-ES" w:eastAsia="es-ES"/>
        </w:rPr>
      </w:pPr>
      <w:r>
        <w:rPr>
          <w:rFonts w:ascii="Verdana" w:hAnsi="Verdana" w:cs="Verdana"/>
          <w:b/>
          <w:bCs/>
          <w:spacing w:val="-13"/>
          <w:sz w:val="24"/>
          <w:szCs w:val="24"/>
          <w:lang w:val="es-ES" w:eastAsia="es-ES"/>
        </w:rPr>
        <w:t>DEL PRINCIPIO DE LEGALIDAD</w:t>
      </w:r>
    </w:p>
    <w:p w:rsidR="00000000" w:rsidRDefault="00E23D57">
      <w:pPr>
        <w:kinsoku w:val="0"/>
        <w:overflowPunct w:val="0"/>
        <w:autoSpaceDE/>
        <w:autoSpaceDN/>
        <w:adjustRightInd/>
        <w:spacing w:before="234" w:line="267" w:lineRule="exact"/>
        <w:ind w:left="72" w:right="72"/>
        <w:jc w:val="both"/>
        <w:textAlignment w:val="baseline"/>
        <w:rPr>
          <w:rFonts w:ascii="Verdana" w:hAnsi="Verdana" w:cs="Verdana"/>
          <w:spacing w:val="-12"/>
          <w:sz w:val="24"/>
          <w:szCs w:val="24"/>
          <w:lang w:val="es-ES" w:eastAsia="es-ES"/>
        </w:rPr>
      </w:pPr>
      <w:r>
        <w:rPr>
          <w:rFonts w:ascii="Verdana" w:hAnsi="Verdana" w:cs="Verdana"/>
          <w:spacing w:val="-12"/>
          <w:sz w:val="24"/>
          <w:szCs w:val="24"/>
          <w:lang w:val="es-ES" w:eastAsia="es-ES"/>
        </w:rPr>
        <w:t>La Administración Pública está sometida al Principio de Legalidad, conforme lo establecido en el Artículo 11 de la Constitución Política y el Artículo 11 de l</w:t>
      </w:r>
      <w:r>
        <w:rPr>
          <w:rFonts w:ascii="Verdana" w:hAnsi="Verdana" w:cs="Verdana"/>
          <w:spacing w:val="-12"/>
          <w:sz w:val="24"/>
          <w:szCs w:val="24"/>
          <w:lang w:val="es-ES" w:eastAsia="es-ES"/>
        </w:rPr>
        <w:t>a Ley General de la Administración Pública, Ley 6324 de 1978. Este principio constituye la base fundamental que define y delimita la actuación de los órganos de la Administración y por ende de los concesionarios y permisionarios del servicio público, que r</w:t>
      </w:r>
      <w:r>
        <w:rPr>
          <w:rFonts w:ascii="Verdana" w:hAnsi="Verdana" w:cs="Verdana"/>
          <w:spacing w:val="-12"/>
          <w:sz w:val="24"/>
          <w:szCs w:val="24"/>
          <w:lang w:val="es-ES" w:eastAsia="es-ES"/>
        </w:rPr>
        <w:t>ealizan un servicio público cedido por el Estado.</w:t>
      </w:r>
    </w:p>
    <w:p w:rsidR="00000000" w:rsidRDefault="00E23D57">
      <w:pPr>
        <w:kinsoku w:val="0"/>
        <w:overflowPunct w:val="0"/>
        <w:autoSpaceDE/>
        <w:autoSpaceDN/>
        <w:adjustRightInd/>
        <w:spacing w:before="270" w:line="267" w:lineRule="exact"/>
        <w:ind w:left="72" w:right="72"/>
        <w:jc w:val="both"/>
        <w:textAlignment w:val="baseline"/>
        <w:rPr>
          <w:rFonts w:ascii="Verdana" w:hAnsi="Verdana" w:cs="Verdana"/>
          <w:spacing w:val="-9"/>
          <w:sz w:val="24"/>
          <w:szCs w:val="24"/>
          <w:lang w:val="es-ES" w:eastAsia="es-ES"/>
        </w:rPr>
      </w:pPr>
      <w:r>
        <w:rPr>
          <w:rFonts w:ascii="Verdana" w:hAnsi="Verdana" w:cs="Verdana"/>
          <w:spacing w:val="-9"/>
          <w:sz w:val="24"/>
          <w:szCs w:val="24"/>
          <w:lang w:val="es-ES" w:eastAsia="es-ES"/>
        </w:rPr>
        <w:t>La Sala Constitucional de la Corte Suprema de Justicia, en su sentencia No. 2001-02493, de las dieciséis horas, con veinticinco minutos, del veintisiete de marzo del dos mil uno, respecto d</w:t>
      </w:r>
      <w:r>
        <w:rPr>
          <w:rFonts w:ascii="Verdana" w:hAnsi="Verdana" w:cs="Verdana"/>
          <w:spacing w:val="-9"/>
          <w:sz w:val="24"/>
          <w:szCs w:val="24"/>
          <w:lang w:val="es-ES" w:eastAsia="es-ES"/>
        </w:rPr>
        <w:t>el Principio de Legalidad, manifestó:</w:t>
      </w:r>
    </w:p>
    <w:p w:rsidR="00000000" w:rsidRDefault="00513DA7">
      <w:pPr>
        <w:kinsoku w:val="0"/>
        <w:overflowPunct w:val="0"/>
        <w:autoSpaceDE/>
        <w:autoSpaceDN/>
        <w:adjustRightInd/>
        <w:spacing w:before="278" w:line="217" w:lineRule="exact"/>
        <w:ind w:left="504" w:right="72"/>
        <w:jc w:val="both"/>
        <w:textAlignment w:val="baseline"/>
        <w:rPr>
          <w:rFonts w:ascii="Verdana" w:hAnsi="Verdana" w:cs="Verdana"/>
          <w:b/>
          <w:bCs/>
          <w:i/>
          <w:iCs/>
          <w:spacing w:val="-2"/>
          <w:sz w:val="18"/>
          <w:szCs w:val="18"/>
          <w:lang w:val="es-ES" w:eastAsia="es-ES"/>
        </w:rPr>
      </w:pPr>
      <w:r>
        <w:rPr>
          <w:rFonts w:ascii="Verdana" w:hAnsi="Verdana" w:cs="Verdana"/>
          <w:i/>
          <w:iCs/>
          <w:spacing w:val="-2"/>
          <w:sz w:val="18"/>
          <w:szCs w:val="18"/>
          <w:lang w:val="es-ES" w:eastAsia="es-ES"/>
        </w:rPr>
        <w:t>“</w:t>
      </w:r>
      <w:r w:rsidR="00E23D57">
        <w:rPr>
          <w:rFonts w:ascii="Verdana" w:hAnsi="Verdana" w:cs="Verdana"/>
          <w:i/>
          <w:iCs/>
          <w:spacing w:val="-2"/>
          <w:sz w:val="18"/>
          <w:szCs w:val="18"/>
          <w:lang w:val="es-ES" w:eastAsia="es-ES"/>
        </w:rPr>
        <w:t xml:space="preserve">II.- Sobre el principio de legalidad: El principio de legalidad que se consagra en el artículo 11 de nuestra Constitución Política, significa que </w:t>
      </w:r>
      <w:r w:rsidR="00E23D57">
        <w:rPr>
          <w:rFonts w:ascii="Verdana" w:hAnsi="Verdana" w:cs="Verdana"/>
          <w:b/>
          <w:bCs/>
          <w:i/>
          <w:iCs/>
          <w:spacing w:val="-2"/>
          <w:sz w:val="18"/>
          <w:szCs w:val="18"/>
          <w:u w:val="single"/>
          <w:lang w:val="es-ES" w:eastAsia="es-ES"/>
        </w:rPr>
        <w:t>los actos y comportamientos de la Administración deben de estar regulad</w:t>
      </w:r>
      <w:r w:rsidR="00E23D57">
        <w:rPr>
          <w:rFonts w:ascii="Verdana" w:hAnsi="Verdana" w:cs="Verdana"/>
          <w:b/>
          <w:bCs/>
          <w:i/>
          <w:iCs/>
          <w:spacing w:val="-2"/>
          <w:sz w:val="18"/>
          <w:szCs w:val="18"/>
          <w:u w:val="single"/>
          <w:lang w:val="es-ES" w:eastAsia="es-ES"/>
        </w:rPr>
        <w:t>os por norma escrita,</w:t>
      </w:r>
      <w:r w:rsidR="00E23D57">
        <w:rPr>
          <w:rFonts w:ascii="Verdana" w:hAnsi="Verdana" w:cs="Verdana"/>
          <w:i/>
          <w:iCs/>
          <w:spacing w:val="-2"/>
          <w:sz w:val="18"/>
          <w:szCs w:val="18"/>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sidR="00E23D57">
        <w:rPr>
          <w:rFonts w:ascii="Verdana" w:hAnsi="Verdana" w:cs="Verdana"/>
          <w:b/>
          <w:bCs/>
          <w:i/>
          <w:iCs/>
          <w:spacing w:val="-2"/>
          <w:sz w:val="18"/>
          <w:szCs w:val="18"/>
          <w:u w:val="single"/>
          <w:lang w:val="es-ES" w:eastAsia="es-ES"/>
        </w:rPr>
        <w:t>el c</w:t>
      </w:r>
      <w:r w:rsidR="00E23D57">
        <w:rPr>
          <w:rFonts w:ascii="Verdana" w:hAnsi="Verdana" w:cs="Verdana"/>
          <w:b/>
          <w:bCs/>
          <w:i/>
          <w:iCs/>
          <w:spacing w:val="-2"/>
          <w:sz w:val="18"/>
          <w:szCs w:val="18"/>
          <w:u w:val="single"/>
          <w:lang w:val="es-ES" w:eastAsia="es-ES"/>
        </w:rPr>
        <w:t xml:space="preserve">ual significa que las instituciones públicas solamente pueden actuar en la medida en la que se encuentren apoderadas para hacerlo por el mismo ordenamiento y normalmente a texto expreso, en consecuencia solo le es permitido lo que esté constitucionalmente </w:t>
      </w:r>
      <w:r w:rsidR="00E23D57">
        <w:rPr>
          <w:rFonts w:ascii="Verdana" w:hAnsi="Verdana" w:cs="Verdana"/>
          <w:b/>
          <w:bCs/>
          <w:i/>
          <w:iCs/>
          <w:spacing w:val="-2"/>
          <w:sz w:val="18"/>
          <w:szCs w:val="18"/>
          <w:u w:val="single"/>
          <w:lang w:val="es-ES" w:eastAsia="es-ES"/>
        </w:rPr>
        <w:t xml:space="preserve">y legalmente autorizado en forma expresa y todo lo que no les esté autorizado les está vedado. </w:t>
      </w:r>
      <w:r>
        <w:rPr>
          <w:rFonts w:ascii="Verdana" w:hAnsi="Verdana" w:cs="Verdana"/>
          <w:b/>
          <w:bCs/>
          <w:i/>
          <w:iCs/>
          <w:spacing w:val="-2"/>
          <w:sz w:val="18"/>
          <w:szCs w:val="18"/>
          <w:u w:val="single"/>
          <w:lang w:val="es-ES" w:eastAsia="es-ES"/>
        </w:rPr>
        <w:t>“</w:t>
      </w:r>
      <w:r w:rsidR="00E23D57">
        <w:rPr>
          <w:rFonts w:ascii="Verdana" w:hAnsi="Verdana" w:cs="Verdana"/>
          <w:b/>
          <w:bCs/>
          <w:i/>
          <w:iCs/>
          <w:spacing w:val="-2"/>
          <w:sz w:val="18"/>
          <w:szCs w:val="18"/>
          <w:lang w:val="es-ES" w:eastAsia="es-ES"/>
        </w:rPr>
        <w:t xml:space="preserve"> (Lo resaltado no es del original)</w:t>
      </w:r>
    </w:p>
    <w:p w:rsidR="00000000" w:rsidRDefault="00E23D57">
      <w:pPr>
        <w:kinsoku w:val="0"/>
        <w:overflowPunct w:val="0"/>
        <w:autoSpaceDE/>
        <w:autoSpaceDN/>
        <w:adjustRightInd/>
        <w:spacing w:before="269"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Tribunal Contencioso Administrativo Sección II, en su sentencia 00002 de las nueve horas del 30 de enero de 2</w:t>
      </w:r>
      <w:r>
        <w:rPr>
          <w:rFonts w:ascii="Verdana" w:hAnsi="Verdana" w:cs="Verdana"/>
          <w:sz w:val="24"/>
          <w:szCs w:val="24"/>
          <w:lang w:val="es-ES" w:eastAsia="es-ES"/>
        </w:rPr>
        <w:t>013 indica respecto del Principio de Legalidad lo siguiente:</w:t>
      </w:r>
    </w:p>
    <w:p w:rsidR="00000000" w:rsidRDefault="00513DA7">
      <w:pPr>
        <w:kinsoku w:val="0"/>
        <w:overflowPunct w:val="0"/>
        <w:autoSpaceDE/>
        <w:autoSpaceDN/>
        <w:adjustRightInd/>
        <w:spacing w:before="307" w:line="217" w:lineRule="exact"/>
        <w:ind w:left="504" w:right="72"/>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w:t>
      </w:r>
      <w:r w:rsidR="00E23D57">
        <w:rPr>
          <w:rFonts w:ascii="Verdana" w:hAnsi="Verdana" w:cs="Verdana"/>
          <w:i/>
          <w:iCs/>
          <w:spacing w:val="-2"/>
          <w:sz w:val="18"/>
          <w:szCs w:val="18"/>
          <w:lang w:val="es-ES" w:eastAsia="es-ES"/>
        </w:rPr>
        <w:t>Encontramos en los artículos 11 de la Constitución Política y 11 de la Ley General de Administración Pública, que la Administración se encuentra sometida al ordenamiento jurídico y que sus funci</w:t>
      </w:r>
      <w:r w:rsidR="00E23D57">
        <w:rPr>
          <w:rFonts w:ascii="Verdana" w:hAnsi="Verdana" w:cs="Verdana"/>
          <w:i/>
          <w:iCs/>
          <w:spacing w:val="-2"/>
          <w:sz w:val="18"/>
          <w:szCs w:val="18"/>
          <w:lang w:val="es-ES" w:eastAsia="es-ES"/>
        </w:rPr>
        <w:t xml:space="preserve">onarios solamente pueden desplegar, como manifestación de la voluntad de la administración, aquellos actos que expresamente les están autorizados. El numeral 11 de la Constitución Política, en su párrafo primero, reza: </w:t>
      </w:r>
      <w:r>
        <w:rPr>
          <w:rFonts w:ascii="Verdana" w:hAnsi="Verdana" w:cs="Verdana"/>
          <w:i/>
          <w:iCs/>
          <w:spacing w:val="-2"/>
          <w:sz w:val="18"/>
          <w:szCs w:val="18"/>
          <w:lang w:val="es-ES" w:eastAsia="es-ES"/>
        </w:rPr>
        <w:t>“</w:t>
      </w:r>
      <w:r w:rsidR="00E23D57">
        <w:rPr>
          <w:rFonts w:ascii="Verdana" w:hAnsi="Verdana" w:cs="Verdana"/>
          <w:i/>
          <w:iCs/>
          <w:spacing w:val="-2"/>
          <w:sz w:val="18"/>
          <w:szCs w:val="18"/>
          <w:lang w:val="es-ES" w:eastAsia="es-ES"/>
        </w:rPr>
        <w:t>Los funcionarios públicos</w:t>
      </w:r>
    </w:p>
    <w:p w:rsidR="00000000" w:rsidRDefault="00E23D57">
      <w:pPr>
        <w:widowControl/>
        <w:rPr>
          <w:sz w:val="24"/>
          <w:szCs w:val="24"/>
        </w:rPr>
        <w:sectPr w:rsidR="00000000">
          <w:pgSz w:w="12240" w:h="15840"/>
          <w:pgMar w:top="1040" w:right="1473" w:bottom="240" w:left="1747" w:header="720" w:footer="720" w:gutter="0"/>
          <w:cols w:space="720"/>
          <w:noEndnote/>
        </w:sectPr>
      </w:pPr>
    </w:p>
    <w:p w:rsidR="00000000" w:rsidRDefault="00E23D57">
      <w:pPr>
        <w:kinsoku w:val="0"/>
        <w:overflowPunct w:val="0"/>
        <w:autoSpaceDE/>
        <w:autoSpaceDN/>
        <w:adjustRightInd/>
        <w:spacing w:before="12" w:line="217" w:lineRule="exact"/>
        <w:ind w:left="432" w:right="144"/>
        <w:jc w:val="both"/>
        <w:textAlignment w:val="baseline"/>
        <w:rPr>
          <w:rFonts w:ascii="Verdana" w:hAnsi="Verdana" w:cs="Verdana"/>
          <w:i/>
          <w:iCs/>
          <w:spacing w:val="-1"/>
          <w:sz w:val="18"/>
          <w:szCs w:val="18"/>
          <w:lang w:val="es-ES" w:eastAsia="es-ES"/>
        </w:rPr>
      </w:pPr>
      <w:r>
        <w:rPr>
          <w:rFonts w:ascii="Verdana" w:hAnsi="Verdana" w:cs="Verdana"/>
          <w:i/>
          <w:iCs/>
          <w:spacing w:val="-1"/>
          <w:sz w:val="18"/>
          <w:szCs w:val="18"/>
          <w:lang w:val="es-ES" w:eastAsia="es-ES"/>
        </w:rPr>
        <w:lastRenderedPageBreak/>
        <w:t>son simples depositarios de la autoridad. Están obligados a cumplir los deberes que la ley les impone y no pueden arrogarse facultades no concedidas en ella. (</w:t>
      </w:r>
      <w:r w:rsidR="00513DA7">
        <w:rPr>
          <w:rFonts w:ascii="Verdana" w:hAnsi="Verdana" w:cs="Verdana"/>
          <w:i/>
          <w:iCs/>
          <w:spacing w:val="-1"/>
          <w:sz w:val="18"/>
          <w:szCs w:val="18"/>
          <w:lang w:val="es-ES" w:eastAsia="es-ES"/>
        </w:rPr>
        <w:t>…</w:t>
      </w:r>
      <w:r>
        <w:rPr>
          <w:rFonts w:ascii="Verdana" w:hAnsi="Verdana" w:cs="Verdana"/>
          <w:i/>
          <w:iCs/>
          <w:spacing w:val="-1"/>
          <w:sz w:val="18"/>
          <w:szCs w:val="18"/>
          <w:lang w:val="es-ES" w:eastAsia="es-ES"/>
        </w:rPr>
        <w:t>)</w:t>
      </w:r>
      <w:r w:rsidR="00513DA7">
        <w:rPr>
          <w:rFonts w:ascii="Verdana" w:hAnsi="Verdana" w:cs="Verdana"/>
          <w:i/>
          <w:iCs/>
          <w:spacing w:val="-1"/>
          <w:sz w:val="18"/>
          <w:szCs w:val="18"/>
          <w:lang w:val="es-ES" w:eastAsia="es-ES"/>
        </w:rPr>
        <w:t>”</w:t>
      </w:r>
      <w:r>
        <w:rPr>
          <w:rFonts w:ascii="Verdana" w:hAnsi="Verdana" w:cs="Verdana"/>
          <w:i/>
          <w:iCs/>
          <w:spacing w:val="-1"/>
          <w:sz w:val="18"/>
          <w:szCs w:val="18"/>
          <w:lang w:val="es-ES" w:eastAsia="es-ES"/>
        </w:rPr>
        <w:t xml:space="preserve"> y por su parte, en artículo 11 de la LGAP, dispone que </w:t>
      </w:r>
      <w:r w:rsidR="00513DA7">
        <w:rPr>
          <w:rFonts w:ascii="Verdana" w:hAnsi="Verdana" w:cs="Verdana"/>
          <w:i/>
          <w:iCs/>
          <w:spacing w:val="-1"/>
          <w:sz w:val="18"/>
          <w:szCs w:val="18"/>
          <w:lang w:val="es-ES" w:eastAsia="es-ES"/>
        </w:rPr>
        <w:t>“</w:t>
      </w:r>
      <w:r>
        <w:rPr>
          <w:rFonts w:ascii="Verdana" w:hAnsi="Verdana" w:cs="Verdana"/>
          <w:i/>
          <w:iCs/>
          <w:spacing w:val="-1"/>
          <w:sz w:val="18"/>
          <w:szCs w:val="18"/>
          <w:lang w:val="es-ES" w:eastAsia="es-ES"/>
        </w:rPr>
        <w:t xml:space="preserve"> la Admini</w:t>
      </w:r>
      <w:r>
        <w:rPr>
          <w:rFonts w:ascii="Verdana" w:hAnsi="Verdana" w:cs="Verdana"/>
          <w:i/>
          <w:iCs/>
          <w:spacing w:val="-1"/>
          <w:sz w:val="18"/>
          <w:szCs w:val="18"/>
          <w:lang w:val="es-ES" w:eastAsia="es-ES"/>
        </w:rPr>
        <w:t xml:space="preserve">stración Pública actuará sometida al ordenamiento jurídico y sólo podrá realizar aquellos actos o prestar aquellos servicios públicos que autorice dicho ordenamiento, según la escala jerárquica de sus fuentes; entonces, </w:t>
      </w:r>
      <w:r w:rsidR="00513DA7">
        <w:rPr>
          <w:rFonts w:ascii="Verdana" w:hAnsi="Verdana" w:cs="Verdana"/>
          <w:i/>
          <w:iCs/>
          <w:spacing w:val="-1"/>
          <w:sz w:val="18"/>
          <w:szCs w:val="18"/>
          <w:lang w:val="es-ES" w:eastAsia="es-ES"/>
        </w:rPr>
        <w:t>“</w:t>
      </w:r>
      <w:r>
        <w:rPr>
          <w:rFonts w:ascii="Verdana" w:hAnsi="Verdana" w:cs="Verdana"/>
          <w:i/>
          <w:iCs/>
          <w:spacing w:val="-1"/>
          <w:sz w:val="18"/>
          <w:szCs w:val="18"/>
          <w:lang w:val="es-ES" w:eastAsia="es-ES"/>
        </w:rPr>
        <w:t>todo acto o comportamiento de la Ad</w:t>
      </w:r>
      <w:r>
        <w:rPr>
          <w:rFonts w:ascii="Verdana" w:hAnsi="Verdana" w:cs="Verdana"/>
          <w:i/>
          <w:iCs/>
          <w:spacing w:val="-1"/>
          <w:sz w:val="18"/>
          <w:szCs w:val="18"/>
          <w:lang w:val="es-ES" w:eastAsia="es-ES"/>
        </w:rPr>
        <w:t>ministración que incida sobre los derechos del particular debe estar autorizado por el ordenamiento jurídico</w:t>
      </w:r>
      <w:r w:rsidR="00513DA7">
        <w:rPr>
          <w:rFonts w:ascii="Verdana" w:hAnsi="Verdana" w:cs="Verdana"/>
          <w:i/>
          <w:iCs/>
          <w:spacing w:val="-1"/>
          <w:sz w:val="18"/>
          <w:szCs w:val="18"/>
          <w:lang w:val="es-ES" w:eastAsia="es-ES"/>
        </w:rPr>
        <w:t>”</w:t>
      </w:r>
      <w:r>
        <w:rPr>
          <w:rFonts w:ascii="Verdana" w:hAnsi="Verdana" w:cs="Verdana"/>
          <w:i/>
          <w:iCs/>
          <w:spacing w:val="-1"/>
          <w:sz w:val="18"/>
          <w:szCs w:val="18"/>
          <w:lang w:val="es-ES" w:eastAsia="es-ES"/>
        </w:rPr>
        <w:t xml:space="preserve"> (Ortíz Ortíz). Agrega el jurista además: </w:t>
      </w:r>
      <w:r w:rsidR="00513DA7">
        <w:rPr>
          <w:rFonts w:ascii="Verdana" w:hAnsi="Verdana" w:cs="Verdana"/>
          <w:i/>
          <w:iCs/>
          <w:spacing w:val="-1"/>
          <w:sz w:val="18"/>
          <w:szCs w:val="18"/>
          <w:lang w:val="es-ES" w:eastAsia="es-ES"/>
        </w:rPr>
        <w:t>“</w:t>
      </w:r>
      <w:r>
        <w:rPr>
          <w:rFonts w:ascii="Verdana" w:hAnsi="Verdana" w:cs="Verdana"/>
          <w:i/>
          <w:iCs/>
          <w:spacing w:val="-1"/>
          <w:sz w:val="18"/>
          <w:szCs w:val="18"/>
          <w:lang w:val="es-ES" w:eastAsia="es-ES"/>
        </w:rPr>
        <w:t>también constituye una garantía de la eficiencia administrativa, pues crea un orden de conducta indispen</w:t>
      </w:r>
      <w:r>
        <w:rPr>
          <w:rFonts w:ascii="Verdana" w:hAnsi="Verdana" w:cs="Verdana"/>
          <w:i/>
          <w:iCs/>
          <w:spacing w:val="-1"/>
          <w:sz w:val="18"/>
          <w:szCs w:val="18"/>
          <w:lang w:val="es-ES" w:eastAsia="es-ES"/>
        </w:rPr>
        <w:t>sable para que la acción pública realice los fines que persigue, que permite asegurar un mínimo de oportunidad y conveniencia a su gestión</w:t>
      </w:r>
      <w:r w:rsidR="00513DA7">
        <w:rPr>
          <w:rFonts w:ascii="Verdana" w:hAnsi="Verdana" w:cs="Verdana"/>
          <w:i/>
          <w:iCs/>
          <w:spacing w:val="-1"/>
          <w:sz w:val="18"/>
          <w:szCs w:val="18"/>
          <w:lang w:val="es-ES" w:eastAsia="es-ES"/>
        </w:rPr>
        <w:t>”</w:t>
      </w:r>
      <w:r>
        <w:rPr>
          <w:rFonts w:ascii="Verdana" w:hAnsi="Verdana" w:cs="Verdana"/>
          <w:i/>
          <w:iCs/>
          <w:spacing w:val="-1"/>
          <w:sz w:val="18"/>
          <w:szCs w:val="18"/>
          <w:lang w:val="es-ES" w:eastAsia="es-ES"/>
        </w:rPr>
        <w:t>. La sujeción de la actuación administrativá al Ordenamiento Jurídico significa que la norma se erige en el fundament</w:t>
      </w:r>
      <w:r>
        <w:rPr>
          <w:rFonts w:ascii="Verdana" w:hAnsi="Verdana" w:cs="Verdana"/>
          <w:i/>
          <w:iCs/>
          <w:spacing w:val="-1"/>
          <w:sz w:val="18"/>
          <w:szCs w:val="18"/>
          <w:lang w:val="es-ES" w:eastAsia="es-ES"/>
        </w:rPr>
        <w:t>o previo y necesario de su actividad, y en su fenómeno reflejo, la seguridad</w:t>
      </w:r>
    </w:p>
    <w:p w:rsidR="00000000" w:rsidRDefault="00E23D57">
      <w:pPr>
        <w:tabs>
          <w:tab w:val="left" w:pos="3240"/>
          <w:tab w:val="left" w:pos="3960"/>
          <w:tab w:val="left" w:pos="5688"/>
          <w:tab w:val="left" w:pos="7056"/>
          <w:tab w:val="right" w:pos="8856"/>
        </w:tabs>
        <w:kinsoku w:val="0"/>
        <w:overflowPunct w:val="0"/>
        <w:autoSpaceDE/>
        <w:autoSpaceDN/>
        <w:adjustRightInd/>
        <w:spacing w:line="211" w:lineRule="exact"/>
        <w:ind w:lef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jurídica del administrado.</w:t>
      </w:r>
      <w:r>
        <w:rPr>
          <w:rFonts w:ascii="Verdana" w:hAnsi="Verdana" w:cs="Verdana"/>
          <w:i/>
          <w:iCs/>
          <w:sz w:val="18"/>
          <w:szCs w:val="18"/>
          <w:lang w:val="es-ES" w:eastAsia="es-ES"/>
        </w:rPr>
        <w:tab/>
        <w:t>De</w:t>
      </w:r>
      <w:r>
        <w:rPr>
          <w:rFonts w:ascii="Verdana" w:hAnsi="Verdana" w:cs="Verdana"/>
          <w:i/>
          <w:iCs/>
          <w:sz w:val="18"/>
          <w:szCs w:val="18"/>
          <w:lang w:val="es-ES" w:eastAsia="es-ES"/>
        </w:rPr>
        <w:tab/>
        <w:t>consiguiente,</w:t>
      </w:r>
      <w:r>
        <w:rPr>
          <w:rFonts w:ascii="Verdana" w:hAnsi="Verdana" w:cs="Verdana"/>
          <w:i/>
          <w:iCs/>
          <w:sz w:val="18"/>
          <w:szCs w:val="18"/>
          <w:lang w:val="es-ES" w:eastAsia="es-ES"/>
        </w:rPr>
        <w:tab/>
        <w:t>cualquier</w:t>
      </w:r>
      <w:r>
        <w:rPr>
          <w:rFonts w:ascii="Verdana" w:hAnsi="Verdana" w:cs="Verdana"/>
          <w:i/>
          <w:iCs/>
          <w:sz w:val="18"/>
          <w:szCs w:val="18"/>
          <w:lang w:val="es-ES" w:eastAsia="es-ES"/>
        </w:rPr>
        <w:tab/>
        <w:t>actuación</w:t>
      </w:r>
      <w:r>
        <w:rPr>
          <w:rFonts w:ascii="Verdana" w:hAnsi="Verdana" w:cs="Verdana"/>
          <w:i/>
          <w:iCs/>
          <w:sz w:val="18"/>
          <w:szCs w:val="18"/>
          <w:lang w:val="es-ES" w:eastAsia="es-ES"/>
        </w:rPr>
        <w:tab/>
        <w:t>de la</w:t>
      </w:r>
    </w:p>
    <w:p w:rsidR="00000000" w:rsidRDefault="00E23D57">
      <w:pPr>
        <w:tabs>
          <w:tab w:val="left" w:pos="3240"/>
          <w:tab w:val="left" w:pos="3960"/>
          <w:tab w:val="left" w:pos="4608"/>
          <w:tab w:val="left" w:pos="5616"/>
          <w:tab w:val="left" w:pos="7200"/>
          <w:tab w:val="right" w:pos="8856"/>
        </w:tabs>
        <w:kinsoku w:val="0"/>
        <w:overflowPunct w:val="0"/>
        <w:autoSpaceDE/>
        <w:autoSpaceDN/>
        <w:adjustRightInd/>
        <w:spacing w:before="6" w:line="217" w:lineRule="exact"/>
        <w:ind w:left="432" w:right="144"/>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Administración discordante</w:t>
      </w:r>
      <w:r>
        <w:rPr>
          <w:rFonts w:ascii="Verdana" w:hAnsi="Verdana" w:cs="Verdana"/>
          <w:i/>
          <w:iCs/>
          <w:sz w:val="18"/>
          <w:szCs w:val="18"/>
          <w:lang w:val="es-ES" w:eastAsia="es-ES"/>
        </w:rPr>
        <w:tab/>
        <w:t>con</w:t>
      </w:r>
      <w:r>
        <w:rPr>
          <w:rFonts w:ascii="Verdana" w:hAnsi="Verdana" w:cs="Verdana"/>
          <w:i/>
          <w:iCs/>
          <w:sz w:val="18"/>
          <w:szCs w:val="18"/>
          <w:lang w:val="es-ES" w:eastAsia="es-ES"/>
        </w:rPr>
        <w:tab/>
        <w:t>el</w:t>
      </w:r>
      <w:r>
        <w:rPr>
          <w:rFonts w:ascii="Verdana" w:hAnsi="Verdana" w:cs="Verdana"/>
          <w:i/>
          <w:iCs/>
          <w:sz w:val="18"/>
          <w:szCs w:val="18"/>
          <w:lang w:val="es-ES" w:eastAsia="es-ES"/>
        </w:rPr>
        <w:tab/>
        <w:t>bloque</w:t>
      </w:r>
      <w:r>
        <w:rPr>
          <w:rFonts w:ascii="Verdana" w:hAnsi="Verdana" w:cs="Verdana"/>
          <w:i/>
          <w:iCs/>
          <w:sz w:val="18"/>
          <w:szCs w:val="18"/>
          <w:lang w:val="es-ES" w:eastAsia="es-ES"/>
        </w:rPr>
        <w:tab/>
        <w:t>de legalidad,</w:t>
      </w:r>
      <w:r>
        <w:rPr>
          <w:rFonts w:ascii="Verdana" w:hAnsi="Verdana" w:cs="Verdana"/>
          <w:i/>
          <w:iCs/>
          <w:sz w:val="18"/>
          <w:szCs w:val="18"/>
          <w:lang w:val="es-ES" w:eastAsia="es-ES"/>
        </w:rPr>
        <w:tab/>
        <w:t>constituye</w:t>
      </w:r>
      <w:r>
        <w:rPr>
          <w:rFonts w:ascii="Verdana" w:hAnsi="Verdana" w:cs="Verdana"/>
          <w:i/>
          <w:iCs/>
          <w:sz w:val="18"/>
          <w:szCs w:val="18"/>
          <w:lang w:val="es-ES" w:eastAsia="es-ES"/>
        </w:rPr>
        <w:tab/>
        <w:t>una</w:t>
      </w:r>
      <w:r>
        <w:rPr>
          <w:rFonts w:ascii="Verdana" w:hAnsi="Verdana" w:cs="Verdana"/>
          <w:i/>
          <w:iCs/>
          <w:sz w:val="18"/>
          <w:szCs w:val="18"/>
          <w:lang w:val="es-ES" w:eastAsia="es-ES"/>
        </w:rPr>
        <w:br/>
        <w:t>infracción del Ordenamiento Jurí</w:t>
      </w:r>
      <w:r>
        <w:rPr>
          <w:rFonts w:ascii="Verdana" w:hAnsi="Verdana" w:cs="Verdana"/>
          <w:i/>
          <w:iCs/>
          <w:sz w:val="18"/>
          <w:szCs w:val="18"/>
          <w:lang w:val="es-ES" w:eastAsia="es-ES"/>
        </w:rPr>
        <w:t>dico. Desde esta perspectiva, toda autoridad o institución pública lo es y solamente puede actuar en la medida en que se encuentre habilitada para hacerlo por el mismo ordenamiento, y normalmente a texto expreso.</w:t>
      </w:r>
      <w:r w:rsidR="00513DA7">
        <w:rPr>
          <w:rFonts w:ascii="Verdana" w:hAnsi="Verdana" w:cs="Verdana"/>
          <w:i/>
          <w:iCs/>
          <w:sz w:val="18"/>
          <w:szCs w:val="18"/>
          <w:lang w:val="es-ES" w:eastAsia="es-ES"/>
        </w:rPr>
        <w:t>”</w:t>
      </w:r>
    </w:p>
    <w:p w:rsidR="00000000" w:rsidRDefault="00E23D57">
      <w:pPr>
        <w:kinsoku w:val="0"/>
        <w:overflowPunct w:val="0"/>
        <w:autoSpaceDE/>
        <w:autoSpaceDN/>
        <w:adjustRightInd/>
        <w:spacing w:before="217" w:line="267" w:lineRule="exact"/>
        <w:ind w:left="72"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Principio de Legalidad constituye pues </w:t>
      </w:r>
      <w:r>
        <w:rPr>
          <w:rFonts w:ascii="Verdana" w:hAnsi="Verdana" w:cs="Verdana"/>
          <w:sz w:val="22"/>
          <w:szCs w:val="22"/>
          <w:lang w:val="es-ES" w:eastAsia="es-ES"/>
        </w:rPr>
        <w:t>el marco de acción o actuación al cual se encuentra sujeto todo funcionario público y de no ajustarse a éste sus actos son nulos.</w:t>
      </w:r>
    </w:p>
    <w:p w:rsidR="00000000" w:rsidRDefault="00E23D57">
      <w:pPr>
        <w:kinsoku w:val="0"/>
        <w:overflowPunct w:val="0"/>
        <w:autoSpaceDE/>
        <w:autoSpaceDN/>
        <w:adjustRightInd/>
        <w:spacing w:before="259" w:line="275"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LA MOTIVACIÓN DE LOS ACTOS ADMINISTRATIVOS</w:t>
      </w:r>
    </w:p>
    <w:p w:rsidR="00000000" w:rsidRDefault="00E23D57" w:rsidP="00513DA7">
      <w:pPr>
        <w:kinsoku w:val="0"/>
        <w:overflowPunct w:val="0"/>
        <w:autoSpaceDE/>
        <w:autoSpaceDN/>
        <w:adjustRightInd/>
        <w:spacing w:before="274" w:line="267"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motivación de los actos administrativos, de conformidad con los artí</w:t>
      </w:r>
      <w:r>
        <w:rPr>
          <w:rFonts w:ascii="Verdana" w:hAnsi="Verdana" w:cs="Verdana"/>
          <w:sz w:val="22"/>
          <w:szCs w:val="22"/>
          <w:lang w:val="es-ES" w:eastAsia="es-ES"/>
        </w:rPr>
        <w:t>culos 133 y 136 de la Ley General de Administración Pública, constituye un elemento necesario para que dicho acto administrativo sea válido. Los motivos deben ser expuestos de una manera concreta, precisa y clara, a fin de que el acto sea susceptible de un</w:t>
      </w:r>
      <w:r>
        <w:rPr>
          <w:rFonts w:ascii="Verdana" w:hAnsi="Verdana" w:cs="Verdana"/>
          <w:sz w:val="22"/>
          <w:szCs w:val="22"/>
          <w:lang w:val="es-ES" w:eastAsia="es-ES"/>
        </w:rPr>
        <w:t>a fácil y correcta interpretación y control. La motivación no solo es necesaria para la tarea de control, sino también para su eventual impugnación. La motivación constituye la legalidad del acto administrativo, pues justifica el cumplimiento de los elemen</w:t>
      </w:r>
      <w:r>
        <w:rPr>
          <w:rFonts w:ascii="Verdana" w:hAnsi="Verdana" w:cs="Verdana"/>
          <w:sz w:val="22"/>
          <w:szCs w:val="22"/>
          <w:lang w:val="es-ES" w:eastAsia="es-ES"/>
        </w:rPr>
        <w:t>tos normativos y de valores de apreciación sobre el mérito y la racionabilidad, del mismo.</w:t>
      </w:r>
    </w:p>
    <w:p w:rsidR="00000000" w:rsidRDefault="00E23D57">
      <w:pPr>
        <w:kinsoku w:val="0"/>
        <w:overflowPunct w:val="0"/>
        <w:autoSpaceDE/>
        <w:autoSpaceDN/>
        <w:adjustRightInd/>
        <w:spacing w:before="243" w:line="268"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La Motivación, además debe ser coherente, tanto con el Principio de Legalidad, como con los hechos a los que se circunscribe, esto es de suma importancia pues como s</w:t>
      </w:r>
      <w:r>
        <w:rPr>
          <w:rFonts w:ascii="Verdana" w:hAnsi="Verdana" w:cs="Verdana"/>
          <w:sz w:val="22"/>
          <w:szCs w:val="22"/>
          <w:lang w:val="es-ES" w:eastAsia="es-ES"/>
        </w:rPr>
        <w:t xml:space="preserve">e dijo la Ley exige la motivación cuando: </w:t>
      </w:r>
      <w:r w:rsidR="00513DA7">
        <w:rPr>
          <w:rFonts w:ascii="Verdana" w:hAnsi="Verdana" w:cs="Verdana"/>
          <w:b/>
          <w:bCs/>
          <w:i/>
          <w:iCs/>
          <w:sz w:val="22"/>
          <w:szCs w:val="22"/>
          <w:lang w:val="es-ES" w:eastAsia="es-ES"/>
        </w:rPr>
        <w:t>“</w:t>
      </w:r>
      <w:r>
        <w:rPr>
          <w:rFonts w:ascii="Verdana" w:hAnsi="Verdana" w:cs="Verdana"/>
          <w:b/>
          <w:bCs/>
          <w:i/>
          <w:iCs/>
          <w:sz w:val="22"/>
          <w:szCs w:val="22"/>
          <w:lang w:val="es-ES" w:eastAsia="es-ES"/>
        </w:rPr>
        <w:t>a) Los actos que impongan obligaciones o que limiten, supriman o denieguen derechos subjetivos;</w:t>
      </w:r>
      <w:r w:rsidR="00513DA7">
        <w:rPr>
          <w:rFonts w:ascii="Verdana" w:hAnsi="Verdana" w:cs="Verdana"/>
          <w:b/>
          <w:bCs/>
          <w:i/>
          <w:iCs/>
          <w:sz w:val="22"/>
          <w:szCs w:val="22"/>
          <w:lang w:val="es-ES" w:eastAsia="es-ES"/>
        </w:rPr>
        <w:t>’</w:t>
      </w:r>
      <w:r>
        <w:rPr>
          <w:rFonts w:ascii="Verdana" w:hAnsi="Verdana" w:cs="Verdana"/>
          <w:b/>
          <w:bCs/>
          <w:i/>
          <w:iCs/>
          <w:sz w:val="22"/>
          <w:szCs w:val="22"/>
          <w:lang w:val="es-ES" w:eastAsia="es-ES"/>
        </w:rPr>
        <w:t xml:space="preserve">, </w:t>
      </w:r>
      <w:r>
        <w:rPr>
          <w:rFonts w:ascii="Verdana" w:hAnsi="Verdana" w:cs="Verdana"/>
          <w:sz w:val="22"/>
          <w:szCs w:val="22"/>
          <w:lang w:val="es-ES" w:eastAsia="es-ES"/>
        </w:rPr>
        <w:t>esto es así ya que la tutela que nuestro ordenamiento jurídico hace de los derechos subjetivos de los administrados</w:t>
      </w:r>
      <w:r>
        <w:rPr>
          <w:rFonts w:ascii="Verdana" w:hAnsi="Verdana" w:cs="Verdana"/>
          <w:sz w:val="22"/>
          <w:szCs w:val="22"/>
          <w:lang w:val="es-ES" w:eastAsia="es-ES"/>
        </w:rPr>
        <w:t xml:space="preserve"> es de gran relevancia, de ahí que si el acto, por una u otra razón ha de denegar derecho alguno debe ser justificado hartamente pero esa justificación debe ser coherente con el cuadro fáctico que el operador del derecho tiene frente a sí y el marco legal </w:t>
      </w:r>
      <w:r>
        <w:rPr>
          <w:rFonts w:ascii="Verdana" w:hAnsi="Verdana" w:cs="Verdana"/>
          <w:sz w:val="22"/>
          <w:szCs w:val="22"/>
          <w:lang w:val="es-ES" w:eastAsia="es-ES"/>
        </w:rPr>
        <w:t>que regula la materia. (El resaltado es nuestro)</w:t>
      </w:r>
    </w:p>
    <w:p w:rsidR="00000000" w:rsidRDefault="00513DA7">
      <w:pPr>
        <w:kinsoku w:val="0"/>
        <w:overflowPunct w:val="0"/>
        <w:autoSpaceDE/>
        <w:autoSpaceDN/>
        <w:adjustRightInd/>
        <w:spacing w:before="247" w:line="263" w:lineRule="exact"/>
        <w:ind w:left="648"/>
        <w:textAlignment w:val="baseline"/>
        <w:rPr>
          <w:rFonts w:ascii="Verdana" w:hAnsi="Verdana" w:cs="Verdana"/>
          <w:sz w:val="24"/>
          <w:szCs w:val="24"/>
          <w:lang w:eastAsia="en-US"/>
        </w:rPr>
      </w:pPr>
      <w:r>
        <w:rPr>
          <w:rFonts w:ascii="Verdana" w:hAnsi="Verdana" w:cs="Verdana"/>
          <w:i/>
          <w:iCs/>
          <w:spacing w:val="-2"/>
          <w:sz w:val="22"/>
          <w:szCs w:val="22"/>
          <w:lang w:val="es-ES" w:eastAsia="es-ES"/>
        </w:rPr>
        <w:t>“</w:t>
      </w:r>
      <w:r w:rsidR="00E23D57">
        <w:rPr>
          <w:rFonts w:ascii="Verdana" w:hAnsi="Verdana" w:cs="Verdana"/>
          <w:i/>
          <w:iCs/>
          <w:spacing w:val="-2"/>
          <w:sz w:val="22"/>
          <w:szCs w:val="22"/>
          <w:lang w:val="es-ES" w:eastAsia="es-ES"/>
        </w:rPr>
        <w:t>Artículo 136.</w:t>
      </w:r>
      <w:r w:rsidR="00E23D57">
        <w:rPr>
          <w:rFonts w:ascii="Verdana" w:hAnsi="Verdana" w:cs="Verdana"/>
          <w:i/>
          <w:iCs/>
          <w:spacing w:val="-2"/>
          <w:sz w:val="22"/>
          <w:szCs w:val="22"/>
          <w:lang w:val="es-ES" w:eastAsia="es-ES"/>
        </w:rPr>
        <w:noBreakHyphen/>
      </w:r>
    </w:p>
    <w:p w:rsidR="00000000" w:rsidRDefault="00E23D57" w:rsidP="00513DA7">
      <w:pPr>
        <w:numPr>
          <w:ilvl w:val="0"/>
          <w:numId w:val="15"/>
        </w:numPr>
        <w:kinsoku w:val="0"/>
        <w:overflowPunct w:val="0"/>
        <w:autoSpaceDE/>
        <w:autoSpaceDN/>
        <w:adjustRightInd/>
        <w:spacing w:before="249" w:line="282" w:lineRule="exact"/>
        <w:ind w:right="576"/>
        <w:textAlignment w:val="baseline"/>
        <w:rPr>
          <w:rFonts w:ascii="Verdana" w:hAnsi="Verdana" w:cs="Verdana"/>
          <w:i/>
          <w:iCs/>
          <w:sz w:val="22"/>
          <w:szCs w:val="22"/>
          <w:lang w:val="es-ES" w:eastAsia="es-ES"/>
        </w:rPr>
      </w:pPr>
      <w:r>
        <w:rPr>
          <w:rFonts w:ascii="Verdana" w:hAnsi="Verdana" w:cs="Verdana"/>
          <w:i/>
          <w:iCs/>
          <w:sz w:val="22"/>
          <w:szCs w:val="22"/>
          <w:lang w:val="es-ES" w:eastAsia="es-ES"/>
        </w:rPr>
        <w:t>Serán motivados con mención, sucinta al menos, de sus fundamentos:</w:t>
      </w:r>
    </w:p>
    <w:p w:rsidR="00000000" w:rsidRDefault="00E23D57">
      <w:pPr>
        <w:numPr>
          <w:ilvl w:val="0"/>
          <w:numId w:val="9"/>
        </w:numPr>
        <w:kinsoku w:val="0"/>
        <w:overflowPunct w:val="0"/>
        <w:autoSpaceDE/>
        <w:autoSpaceDN/>
        <w:adjustRightInd/>
        <w:spacing w:before="272" w:line="270" w:lineRule="exact"/>
        <w:ind w:right="576"/>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Los actos que impongan obligaciones o que limiten, supriman o denieguen derechos subjetivos;</w:t>
      </w:r>
    </w:p>
    <w:p w:rsidR="00000000" w:rsidRDefault="00E23D57">
      <w:pPr>
        <w:numPr>
          <w:ilvl w:val="0"/>
          <w:numId w:val="10"/>
        </w:numPr>
        <w:kinsoku w:val="0"/>
        <w:overflowPunct w:val="0"/>
        <w:autoSpaceDE/>
        <w:autoSpaceDN/>
        <w:adjustRightInd/>
        <w:spacing w:line="274" w:lineRule="exact"/>
        <w:textAlignment w:val="baseline"/>
        <w:rPr>
          <w:rFonts w:ascii="Verdana" w:hAnsi="Verdana" w:cs="Verdana"/>
          <w:i/>
          <w:iCs/>
          <w:spacing w:val="-3"/>
          <w:sz w:val="22"/>
          <w:szCs w:val="22"/>
          <w:lang w:val="es-ES" w:eastAsia="es-ES"/>
        </w:rPr>
      </w:pPr>
      <w:r>
        <w:rPr>
          <w:rFonts w:ascii="Verdana" w:hAnsi="Verdana" w:cs="Verdana"/>
          <w:i/>
          <w:iCs/>
          <w:spacing w:val="-3"/>
          <w:sz w:val="22"/>
          <w:szCs w:val="22"/>
          <w:lang w:val="es-ES" w:eastAsia="es-ES"/>
        </w:rPr>
        <w:t>Los que resuelvan recursos;</w:t>
      </w:r>
    </w:p>
    <w:p w:rsidR="00000000" w:rsidRDefault="00E23D57">
      <w:pPr>
        <w:numPr>
          <w:ilvl w:val="0"/>
          <w:numId w:val="11"/>
        </w:numPr>
        <w:kinsoku w:val="0"/>
        <w:overflowPunct w:val="0"/>
        <w:autoSpaceDE/>
        <w:autoSpaceDN/>
        <w:adjustRightInd/>
        <w:spacing w:before="1" w:line="271" w:lineRule="exact"/>
        <w:ind w:right="576"/>
        <w:textAlignment w:val="baseline"/>
        <w:rPr>
          <w:rFonts w:ascii="Verdana" w:hAnsi="Verdana" w:cs="Verdana"/>
          <w:i/>
          <w:iCs/>
          <w:sz w:val="22"/>
          <w:szCs w:val="22"/>
          <w:u w:val="single"/>
          <w:lang w:val="es-ES" w:eastAsia="es-ES"/>
        </w:rPr>
      </w:pPr>
      <w:r>
        <w:rPr>
          <w:rFonts w:ascii="Verdana" w:hAnsi="Verdana" w:cs="Verdana"/>
          <w:i/>
          <w:iCs/>
          <w:sz w:val="22"/>
          <w:szCs w:val="22"/>
          <w:u w:val="single"/>
          <w:lang w:val="es-ES" w:eastAsia="es-ES"/>
        </w:rPr>
        <w:t xml:space="preserve">Los que se separen del criterio seguido en actuaciones precedentes o del dictamen de órganos consultivos; </w:t>
      </w:r>
    </w:p>
    <w:p w:rsidR="00000000" w:rsidRDefault="00E23D57">
      <w:pPr>
        <w:widowControl/>
        <w:rPr>
          <w:sz w:val="24"/>
          <w:szCs w:val="24"/>
        </w:rPr>
        <w:sectPr w:rsidR="00000000">
          <w:pgSz w:w="12240" w:h="15840"/>
          <w:pgMar w:top="840" w:right="1521" w:bottom="404" w:left="1699" w:header="720" w:footer="720" w:gutter="0"/>
          <w:cols w:space="720"/>
          <w:noEndnote/>
        </w:sectPr>
      </w:pPr>
    </w:p>
    <w:p w:rsidR="00000000" w:rsidRDefault="00E23D57">
      <w:pPr>
        <w:numPr>
          <w:ilvl w:val="0"/>
          <w:numId w:val="12"/>
        </w:numPr>
        <w:kinsoku w:val="0"/>
        <w:overflowPunct w:val="0"/>
        <w:autoSpaceDE/>
        <w:autoSpaceDN/>
        <w:adjustRightInd/>
        <w:spacing w:before="3" w:line="267" w:lineRule="exact"/>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Los de suspensión de actos que hayan sido objeto del recurso;</w:t>
      </w:r>
    </w:p>
    <w:p w:rsidR="00000000" w:rsidRDefault="00E23D57">
      <w:pPr>
        <w:numPr>
          <w:ilvl w:val="0"/>
          <w:numId w:val="12"/>
        </w:numPr>
        <w:kinsoku w:val="0"/>
        <w:overflowPunct w:val="0"/>
        <w:autoSpaceDE/>
        <w:autoSpaceDN/>
        <w:adjustRightInd/>
        <w:spacing w:line="265" w:lineRule="exact"/>
        <w:textAlignment w:val="baseline"/>
        <w:rPr>
          <w:rFonts w:ascii="Verdana" w:hAnsi="Verdana" w:cs="Verdana"/>
          <w:i/>
          <w:iCs/>
          <w:sz w:val="22"/>
          <w:szCs w:val="22"/>
          <w:lang w:val="es-ES" w:eastAsia="es-ES"/>
        </w:rPr>
      </w:pPr>
      <w:r>
        <w:rPr>
          <w:rFonts w:ascii="Verdana" w:hAnsi="Verdana" w:cs="Verdana"/>
          <w:i/>
          <w:iCs/>
          <w:sz w:val="22"/>
          <w:szCs w:val="22"/>
          <w:lang w:val="es-ES" w:eastAsia="es-ES"/>
        </w:rPr>
        <w:t>Los reglamentos y actos discrecionales de alcance general; y</w:t>
      </w:r>
    </w:p>
    <w:p w:rsidR="00000000" w:rsidRDefault="00E23D57">
      <w:pPr>
        <w:numPr>
          <w:ilvl w:val="0"/>
          <w:numId w:val="12"/>
        </w:numPr>
        <w:kinsoku w:val="0"/>
        <w:overflowPunct w:val="0"/>
        <w:autoSpaceDE/>
        <w:autoSpaceDN/>
        <w:adjustRightInd/>
        <w:spacing w:line="267" w:lineRule="exact"/>
        <w:textAlignment w:val="baseline"/>
        <w:rPr>
          <w:rFonts w:ascii="Verdana" w:hAnsi="Verdana" w:cs="Verdana"/>
          <w:i/>
          <w:iCs/>
          <w:spacing w:val="-1"/>
          <w:sz w:val="22"/>
          <w:szCs w:val="22"/>
          <w:lang w:val="es-ES" w:eastAsia="es-ES"/>
        </w:rPr>
      </w:pPr>
      <w:r>
        <w:rPr>
          <w:rFonts w:ascii="Verdana" w:hAnsi="Verdana" w:cs="Verdana"/>
          <w:i/>
          <w:iCs/>
          <w:spacing w:val="-1"/>
          <w:sz w:val="22"/>
          <w:szCs w:val="22"/>
          <w:lang w:val="es-ES" w:eastAsia="es-ES"/>
        </w:rPr>
        <w:t>Los que deban serlo en virtud de ley.</w:t>
      </w:r>
    </w:p>
    <w:p w:rsidR="00000000" w:rsidRDefault="00E23D57">
      <w:pPr>
        <w:kinsoku w:val="0"/>
        <w:overflowPunct w:val="0"/>
        <w:autoSpaceDE/>
        <w:autoSpaceDN/>
        <w:adjustRightInd/>
        <w:spacing w:before="259" w:line="269" w:lineRule="exact"/>
        <w:ind w:left="576" w:right="648"/>
        <w:jc w:val="both"/>
        <w:textAlignment w:val="baseline"/>
        <w:rPr>
          <w:rFonts w:ascii="Verdana" w:hAnsi="Verdana" w:cs="Verdana"/>
          <w:spacing w:val="-2"/>
          <w:sz w:val="22"/>
          <w:szCs w:val="22"/>
          <w:lang w:val="es-ES" w:eastAsia="es-ES"/>
        </w:rPr>
      </w:pPr>
      <w:r>
        <w:rPr>
          <w:rFonts w:ascii="Verdana" w:hAnsi="Verdana" w:cs="Verdana"/>
          <w:i/>
          <w:iCs/>
          <w:spacing w:val="-2"/>
          <w:sz w:val="22"/>
          <w:szCs w:val="22"/>
          <w:lang w:val="es-ES" w:eastAsia="es-ES"/>
        </w:rPr>
        <w:t xml:space="preserve">2. </w:t>
      </w:r>
      <w:r>
        <w:rPr>
          <w:rFonts w:ascii="Verdana" w:hAnsi="Verdana" w:cs="Verdana"/>
          <w:b/>
          <w:bCs/>
          <w:spacing w:val="-2"/>
          <w:sz w:val="22"/>
          <w:szCs w:val="22"/>
          <w:lang w:val="es-ES" w:eastAsia="es-ES"/>
        </w:rPr>
        <w:t>La motivación podrá consistir en la referencia explícita o inequívoca a los motivos de la petición del administrado, o bien a propuestas, dictá</w:t>
      </w:r>
      <w:r>
        <w:rPr>
          <w:rFonts w:ascii="Verdana" w:hAnsi="Verdana" w:cs="Verdana"/>
          <w:b/>
          <w:bCs/>
          <w:spacing w:val="-2"/>
          <w:sz w:val="22"/>
          <w:szCs w:val="22"/>
          <w:lang w:val="es-ES" w:eastAsia="es-ES"/>
        </w:rPr>
        <w:t>menes o resoluciones previas que hayan determinado realmente la adopción del acto, a condición de que se acompañe su copia.</w:t>
      </w:r>
      <w:r w:rsidR="00513DA7">
        <w:rPr>
          <w:rFonts w:ascii="Verdana" w:hAnsi="Verdana" w:cs="Verdana"/>
          <w:b/>
          <w:bCs/>
          <w:spacing w:val="-2"/>
          <w:sz w:val="22"/>
          <w:szCs w:val="22"/>
          <w:lang w:val="es-ES" w:eastAsia="es-ES"/>
        </w:rPr>
        <w:t>”</w:t>
      </w:r>
      <w:r>
        <w:rPr>
          <w:rFonts w:ascii="Verdana" w:hAnsi="Verdana" w:cs="Verdana"/>
          <w:b/>
          <w:bCs/>
          <w:spacing w:val="-2"/>
          <w:sz w:val="22"/>
          <w:szCs w:val="22"/>
          <w:lang w:val="es-ES" w:eastAsia="es-ES"/>
        </w:rPr>
        <w:t xml:space="preserve"> </w:t>
      </w:r>
      <w:r>
        <w:rPr>
          <w:rFonts w:ascii="Verdana" w:hAnsi="Verdana" w:cs="Verdana"/>
          <w:spacing w:val="-2"/>
          <w:sz w:val="22"/>
          <w:szCs w:val="22"/>
          <w:lang w:val="es-ES" w:eastAsia="es-ES"/>
        </w:rPr>
        <w:t>(El resaltado no es del original)</w:t>
      </w:r>
    </w:p>
    <w:p w:rsidR="00000000" w:rsidRDefault="00E23D57">
      <w:pPr>
        <w:kinsoku w:val="0"/>
        <w:overflowPunct w:val="0"/>
        <w:autoSpaceDE/>
        <w:autoSpaceDN/>
        <w:adjustRightInd/>
        <w:spacing w:before="263" w:line="269" w:lineRule="exact"/>
        <w:ind w:left="72"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Tribunal Contencioso Administrativo Sección III en su sentencia 00029 de las once horas del tr</w:t>
      </w:r>
      <w:r>
        <w:rPr>
          <w:rFonts w:ascii="Verdana" w:hAnsi="Verdana" w:cs="Verdana"/>
          <w:sz w:val="22"/>
          <w:szCs w:val="22"/>
          <w:lang w:val="es-ES" w:eastAsia="es-ES"/>
        </w:rPr>
        <w:t>einta de enero de dos mil quince indicó:</w:t>
      </w:r>
    </w:p>
    <w:p w:rsidR="00000000" w:rsidRDefault="00513DA7">
      <w:pPr>
        <w:kinsoku w:val="0"/>
        <w:overflowPunct w:val="0"/>
        <w:autoSpaceDE/>
        <w:autoSpaceDN/>
        <w:adjustRightInd/>
        <w:spacing w:before="246" w:line="219" w:lineRule="exact"/>
        <w:ind w:left="432"/>
        <w:textAlignment w:val="baseline"/>
        <w:rPr>
          <w:rFonts w:ascii="Verdana" w:hAnsi="Verdana" w:cs="Verdana"/>
          <w:i/>
          <w:iCs/>
          <w:spacing w:val="6"/>
          <w:sz w:val="18"/>
          <w:szCs w:val="18"/>
          <w:lang w:val="es-ES" w:eastAsia="es-ES"/>
        </w:rPr>
      </w:pPr>
      <w:r>
        <w:rPr>
          <w:rFonts w:ascii="Verdana" w:hAnsi="Verdana" w:cs="Verdana"/>
          <w:b/>
          <w:bCs/>
          <w:i/>
          <w:iCs/>
          <w:spacing w:val="6"/>
          <w:sz w:val="18"/>
          <w:szCs w:val="18"/>
          <w:lang w:val="es-ES" w:eastAsia="es-ES"/>
        </w:rPr>
        <w:t>“</w:t>
      </w:r>
      <w:r w:rsidR="00E23D57">
        <w:rPr>
          <w:rFonts w:ascii="Verdana" w:hAnsi="Verdana" w:cs="Verdana"/>
          <w:b/>
          <w:bCs/>
          <w:i/>
          <w:iCs/>
          <w:spacing w:val="6"/>
          <w:sz w:val="18"/>
          <w:szCs w:val="18"/>
          <w:lang w:val="es-ES" w:eastAsia="es-ES"/>
        </w:rPr>
        <w:t xml:space="preserve">III.- </w:t>
      </w:r>
      <w:r w:rsidR="00E23D57">
        <w:rPr>
          <w:rFonts w:ascii="Verdana" w:hAnsi="Verdana" w:cs="Verdana"/>
          <w:i/>
          <w:iCs/>
          <w:spacing w:val="6"/>
          <w:sz w:val="18"/>
          <w:szCs w:val="18"/>
          <w:lang w:val="es-ES" w:eastAsia="es-ES"/>
        </w:rPr>
        <w:t>SOBRE EL DEBER DE MOTIVACIÓN DE LOS ACTOS ADMINISTRATIVOS. Ha de</w:t>
      </w:r>
    </w:p>
    <w:p w:rsidR="00000000" w:rsidRDefault="00E23D57">
      <w:pPr>
        <w:tabs>
          <w:tab w:val="left" w:pos="1584"/>
          <w:tab w:val="left" w:pos="5904"/>
        </w:tabs>
        <w:kinsoku w:val="0"/>
        <w:overflowPunct w:val="0"/>
        <w:autoSpaceDE/>
        <w:autoSpaceDN/>
        <w:adjustRightInd/>
        <w:spacing w:before="28" w:line="218" w:lineRule="exact"/>
        <w:ind w:left="432" w:right="432"/>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t>indicarse,</w:t>
      </w:r>
      <w:r>
        <w:rPr>
          <w:rFonts w:ascii="Verdana" w:hAnsi="Verdana" w:cs="Verdana"/>
          <w:i/>
          <w:iCs/>
          <w:spacing w:val="-3"/>
          <w:sz w:val="18"/>
          <w:szCs w:val="18"/>
          <w:lang w:val="es-ES" w:eastAsia="es-ES"/>
        </w:rPr>
        <w:tab/>
        <w:t>que la motivación se constituye en</w:t>
      </w:r>
      <w:r>
        <w:rPr>
          <w:rFonts w:ascii="Verdana" w:hAnsi="Verdana" w:cs="Verdana"/>
          <w:i/>
          <w:iCs/>
          <w:spacing w:val="-3"/>
          <w:sz w:val="18"/>
          <w:szCs w:val="18"/>
          <w:lang w:val="es-ES" w:eastAsia="es-ES"/>
        </w:rPr>
        <w:tab/>
        <w:t>un elemento sustancial</w:t>
      </w:r>
      <w:r>
        <w:rPr>
          <w:rFonts w:ascii="Verdana" w:hAnsi="Verdana" w:cs="Verdana"/>
          <w:i/>
          <w:iCs/>
          <w:spacing w:val="-3"/>
          <w:sz w:val="18"/>
          <w:szCs w:val="18"/>
          <w:lang w:val="es-ES" w:eastAsia="es-ES"/>
        </w:rPr>
        <w:br/>
        <w:t>del acto administrativo, que exige la consignación de las cuestiones fácti</w:t>
      </w:r>
      <w:r>
        <w:rPr>
          <w:rFonts w:ascii="Verdana" w:hAnsi="Verdana" w:cs="Verdana"/>
          <w:i/>
          <w:iCs/>
          <w:spacing w:val="-3"/>
          <w:sz w:val="18"/>
          <w:szCs w:val="18"/>
          <w:lang w:val="es-ES" w:eastAsia="es-ES"/>
        </w:rPr>
        <w:t xml:space="preserve">cas y/o jurídicas que sustentan la voluntad pública en el caso concreto. </w:t>
      </w:r>
      <w:r>
        <w:rPr>
          <w:rFonts w:ascii="Verdana" w:hAnsi="Verdana" w:cs="Verdana"/>
          <w:i/>
          <w:iCs/>
          <w:spacing w:val="-3"/>
          <w:sz w:val="18"/>
          <w:szCs w:val="18"/>
          <w:u w:val="single"/>
          <w:lang w:val="es-ES" w:eastAsia="es-ES"/>
        </w:rPr>
        <w:t>El elemento motivación dista de ser una consideración meramente formal; por el contrario, constituye un elemento  infranqueable de la conducta pública, en la medida que permite la com</w:t>
      </w:r>
      <w:r>
        <w:rPr>
          <w:rFonts w:ascii="Verdana" w:hAnsi="Verdana" w:cs="Verdana"/>
          <w:i/>
          <w:iCs/>
          <w:spacing w:val="-3"/>
          <w:sz w:val="18"/>
          <w:szCs w:val="18"/>
          <w:u w:val="single"/>
          <w:lang w:val="es-ES" w:eastAsia="es-ES"/>
        </w:rPr>
        <w:t>prensión de las razones en lasque se basa la decisión, lo que posibilita por un lado, el análisis de legalidad de ese acto a fin de confrontarlo con el ordenamiento jurídico y ponderar si satisface las exigencias que aquel le impone, en términos de acredit</w:t>
      </w:r>
      <w:r>
        <w:rPr>
          <w:rFonts w:ascii="Verdana" w:hAnsi="Verdana" w:cs="Verdana"/>
          <w:i/>
          <w:iCs/>
          <w:spacing w:val="-3"/>
          <w:sz w:val="18"/>
          <w:szCs w:val="18"/>
          <w:u w:val="single"/>
          <w:lang w:val="es-ES" w:eastAsia="es-ES"/>
        </w:rPr>
        <w:t>ación del motivo, legitimidad del contenido, razonabilidad y proporcionalidad entre ambos elementos.</w:t>
      </w:r>
      <w:r>
        <w:rPr>
          <w:rFonts w:ascii="Verdana" w:hAnsi="Verdana" w:cs="Verdana"/>
          <w:i/>
          <w:iCs/>
          <w:spacing w:val="-3"/>
          <w:sz w:val="18"/>
          <w:szCs w:val="18"/>
          <w:lang w:val="es-ES" w:eastAsia="es-ES"/>
        </w:rPr>
        <w:t xml:space="preserve"> Pero además, se transforma en un presupuesto de base para poder ejercer el derecho recursivo del destinatario, siendo que, no podría ejercerse plenamente e</w:t>
      </w:r>
      <w:r>
        <w:rPr>
          <w:rFonts w:ascii="Verdana" w:hAnsi="Verdana" w:cs="Verdana"/>
          <w:i/>
          <w:iCs/>
          <w:spacing w:val="-3"/>
          <w:sz w:val="18"/>
          <w:szCs w:val="18"/>
          <w:lang w:val="es-ES" w:eastAsia="es-ES"/>
        </w:rPr>
        <w:t>se derecho si el acto no señala su fundamentación. Ahora, ese deber de motivación, según se colige del precitado canon 136 de la Ley General de la Administración Pública, puede satisfacerse de manera directa o indirecta. En la primera, el acto indica expre</w:t>
      </w:r>
      <w:r>
        <w:rPr>
          <w:rFonts w:ascii="Verdana" w:hAnsi="Verdana" w:cs="Verdana"/>
          <w:i/>
          <w:iCs/>
          <w:spacing w:val="-3"/>
          <w:sz w:val="18"/>
          <w:szCs w:val="18"/>
          <w:lang w:val="es-ES" w:eastAsia="es-ES"/>
        </w:rPr>
        <w:t>samente las argumentaciones fácticas, técnicas, jurídicas o precedentes que sustentan la voluntad. En la indirecta (inciso 2 del citado numeral) el acto remite a propuestas, dictámenes o resoluciones previas que hayan determinado realmente su adopción, a r</w:t>
      </w:r>
      <w:r>
        <w:rPr>
          <w:rFonts w:ascii="Verdana" w:hAnsi="Verdana" w:cs="Verdana"/>
          <w:i/>
          <w:iCs/>
          <w:spacing w:val="-3"/>
          <w:sz w:val="18"/>
          <w:szCs w:val="18"/>
          <w:lang w:val="es-ES" w:eastAsia="es-ES"/>
        </w:rPr>
        <w:t xml:space="preserve">eserva de que se acompañe su copia en el acto de comunicación. La deficiencia en este elemento, conlleva un vicio de nulidad que puede generar la supresión de la conducta. La motivación, pese a la redacción del inciso primero del aludido numeral 136 de la </w:t>
      </w:r>
      <w:r>
        <w:rPr>
          <w:rFonts w:ascii="Verdana" w:hAnsi="Verdana" w:cs="Verdana"/>
          <w:i/>
          <w:iCs/>
          <w:spacing w:val="-3"/>
          <w:sz w:val="18"/>
          <w:szCs w:val="18"/>
          <w:lang w:val="es-ES" w:eastAsia="es-ES"/>
        </w:rPr>
        <w:t>Ley General de referencia previa, no puede entenderse como una simple exposición de hechos, o bien, una mención simplista y aislada de normas jurídicas que se estiman pertinentes al caso, ni la simple transcripción de criterios sin acompañar detalle de las</w:t>
      </w:r>
      <w:r>
        <w:rPr>
          <w:rFonts w:ascii="Verdana" w:hAnsi="Verdana" w:cs="Verdana"/>
          <w:i/>
          <w:iCs/>
          <w:spacing w:val="-3"/>
          <w:sz w:val="18"/>
          <w:szCs w:val="18"/>
          <w:lang w:val="es-ES" w:eastAsia="es-ES"/>
        </w:rPr>
        <w:t xml:space="preserve"> razones por las cuales se </w:t>
      </w:r>
      <w:r w:rsidR="00513DA7">
        <w:rPr>
          <w:rFonts w:ascii="Verdana" w:hAnsi="Verdana" w:cs="Verdana"/>
          <w:i/>
          <w:iCs/>
          <w:spacing w:val="-3"/>
          <w:sz w:val="18"/>
          <w:szCs w:val="18"/>
          <w:lang w:val="es-ES" w:eastAsia="es-ES"/>
        </w:rPr>
        <w:pgNum/>
        <w:t>rohíjan</w:t>
      </w:r>
      <w:r>
        <w:rPr>
          <w:rFonts w:ascii="Verdana" w:hAnsi="Verdana" w:cs="Verdana"/>
          <w:i/>
          <w:iCs/>
          <w:spacing w:val="-3"/>
          <w:sz w:val="18"/>
          <w:szCs w:val="18"/>
          <w:lang w:val="es-ES" w:eastAsia="es-ES"/>
        </w:rPr>
        <w:t xml:space="preserve">. </w:t>
      </w:r>
      <w:r>
        <w:rPr>
          <w:rFonts w:ascii="Verdana" w:hAnsi="Verdana" w:cs="Verdana"/>
          <w:i/>
          <w:iCs/>
          <w:spacing w:val="-3"/>
          <w:sz w:val="18"/>
          <w:szCs w:val="18"/>
          <w:u w:val="single"/>
          <w:lang w:val="es-ES" w:eastAsia="es-ES"/>
        </w:rPr>
        <w:t>La relevancia de esta  exigencia implica un análisis que permita vincular los aspectos de hecho y de derecho  atinentes al asunto que se examina (doctrina del artículo 132.1 LGAP), ergo, supone, como  tesis de principio</w:t>
      </w:r>
      <w:r>
        <w:rPr>
          <w:rFonts w:ascii="Verdana" w:hAnsi="Verdana" w:cs="Verdana"/>
          <w:i/>
          <w:iCs/>
          <w:spacing w:val="-3"/>
          <w:sz w:val="18"/>
          <w:szCs w:val="18"/>
          <w:u w:val="single"/>
          <w:lang w:val="es-ES" w:eastAsia="es-ES"/>
        </w:rPr>
        <w:t xml:space="preserve">, una determinación de los hechos relevantes para la decisión (orientados por la máxima de verdad real -214, 308 ibídem-) y el examen de la procedencia o  improcedencia de un determinado efecto, a la luz de las normas jurídicas atinentes al caso. </w:t>
      </w:r>
      <w:r>
        <w:rPr>
          <w:rFonts w:ascii="Verdana" w:hAnsi="Verdana" w:cs="Verdana"/>
          <w:i/>
          <w:iCs/>
          <w:spacing w:val="-3"/>
          <w:sz w:val="18"/>
          <w:szCs w:val="18"/>
          <w:lang w:val="es-ES" w:eastAsia="es-ES"/>
        </w:rPr>
        <w:t>Ello exig</w:t>
      </w:r>
      <w:r>
        <w:rPr>
          <w:rFonts w:ascii="Verdana" w:hAnsi="Verdana" w:cs="Verdana"/>
          <w:i/>
          <w:iCs/>
          <w:spacing w:val="-3"/>
          <w:sz w:val="18"/>
          <w:szCs w:val="18"/>
          <w:lang w:val="es-ES" w:eastAsia="es-ES"/>
        </w:rPr>
        <w:t>e una valoración de las implicaciones de los aspectos Tácticos determinados en el marco del derecho aplicable, valoración que ha de explicitarse en el acto, sea de manera directa o refleja, a fin de expresar los razonamientos que orientaron la voluntad adm</w:t>
      </w:r>
      <w:r>
        <w:rPr>
          <w:rFonts w:ascii="Verdana" w:hAnsi="Verdana" w:cs="Verdana"/>
          <w:i/>
          <w:iCs/>
          <w:spacing w:val="-3"/>
          <w:sz w:val="18"/>
          <w:szCs w:val="18"/>
          <w:lang w:val="es-ES" w:eastAsia="es-ES"/>
        </w:rPr>
        <w:t>inistrativa. Por ende, no basta concluir sobre la improcedencia de una determinada petición, ha de exponerse las causas fácticas y jurídicas de ese resultado. En asuntos en los que el efecto condicionado se sujeta al cumplimiento de determinados requisitos</w:t>
      </w:r>
      <w:r>
        <w:rPr>
          <w:rFonts w:ascii="Verdana" w:hAnsi="Verdana" w:cs="Verdana"/>
          <w:i/>
          <w:iCs/>
          <w:spacing w:val="-3"/>
          <w:sz w:val="18"/>
          <w:szCs w:val="18"/>
          <w:lang w:val="es-ES" w:eastAsia="es-ES"/>
        </w:rPr>
        <w:t xml:space="preserve"> de antemano fijados por alguna fuente formal, la motivación implica necesariamente, la mención diáfana de las razones por las cuales se ha concluido que no han sido satisfechos, como presupuesto de respaldo de ese resultado. Lo opuesto posibilitaría el re</w:t>
      </w:r>
      <w:r>
        <w:rPr>
          <w:rFonts w:ascii="Verdana" w:hAnsi="Verdana" w:cs="Verdana"/>
          <w:i/>
          <w:iCs/>
          <w:spacing w:val="-3"/>
          <w:sz w:val="18"/>
          <w:szCs w:val="18"/>
          <w:lang w:val="es-ES" w:eastAsia="es-ES"/>
        </w:rPr>
        <w:t>chazo por aseveraciones que al margen de su fundamento, no encuentran justificación en el acto mismo, imposibilitando la comprensión de dichas causas y su recurribilidad</w:t>
      </w:r>
      <w:r w:rsidR="00513DA7">
        <w:rPr>
          <w:rFonts w:ascii="Verdana" w:hAnsi="Verdana" w:cs="Verdana"/>
          <w:i/>
          <w:iCs/>
          <w:spacing w:val="-3"/>
          <w:sz w:val="18"/>
          <w:szCs w:val="18"/>
          <w:lang w:val="es-ES" w:eastAsia="es-ES"/>
        </w:rPr>
        <w:t>…</w:t>
      </w:r>
      <w:r>
        <w:rPr>
          <w:rFonts w:ascii="Verdana" w:hAnsi="Verdana" w:cs="Verdana"/>
          <w:i/>
          <w:iCs/>
          <w:spacing w:val="-3"/>
          <w:sz w:val="18"/>
          <w:szCs w:val="18"/>
          <w:lang w:val="es-ES" w:eastAsia="es-ES"/>
        </w:rPr>
        <w:t>.</w:t>
      </w:r>
      <w:r w:rsidR="00513DA7">
        <w:rPr>
          <w:rFonts w:ascii="Verdana" w:hAnsi="Verdana" w:cs="Verdana"/>
          <w:i/>
          <w:iCs/>
          <w:spacing w:val="-3"/>
          <w:sz w:val="18"/>
          <w:szCs w:val="18"/>
          <w:lang w:val="es-ES" w:eastAsia="es-ES"/>
        </w:rPr>
        <w:t>”</w:t>
      </w:r>
    </w:p>
    <w:p w:rsidR="00000000" w:rsidRDefault="00E23D57">
      <w:pPr>
        <w:kinsoku w:val="0"/>
        <w:overflowPunct w:val="0"/>
        <w:autoSpaceDE/>
        <w:autoSpaceDN/>
        <w:adjustRightInd/>
        <w:spacing w:before="288" w:line="281" w:lineRule="exact"/>
        <w:ind w:left="72"/>
        <w:textAlignment w:val="baseline"/>
        <w:rPr>
          <w:rFonts w:ascii="Verdana" w:hAnsi="Verdana" w:cs="Verdana"/>
          <w:b/>
          <w:bCs/>
          <w:spacing w:val="11"/>
          <w:sz w:val="22"/>
          <w:szCs w:val="22"/>
          <w:lang w:val="es-ES" w:eastAsia="es-ES"/>
        </w:rPr>
      </w:pPr>
      <w:r>
        <w:rPr>
          <w:rFonts w:ascii="Verdana" w:hAnsi="Verdana" w:cs="Verdana"/>
          <w:b/>
          <w:bCs/>
          <w:spacing w:val="11"/>
          <w:sz w:val="22"/>
          <w:szCs w:val="22"/>
          <w:lang w:val="es-ES" w:eastAsia="es-ES"/>
        </w:rPr>
        <w:t>DEL CASO CONCRETO</w:t>
      </w:r>
    </w:p>
    <w:p w:rsidR="00000000" w:rsidRDefault="00E23D57" w:rsidP="00513DA7">
      <w:pPr>
        <w:kinsoku w:val="0"/>
        <w:overflowPunct w:val="0"/>
        <w:autoSpaceDE/>
        <w:autoSpaceDN/>
        <w:adjustRightInd/>
        <w:spacing w:before="323" w:line="288" w:lineRule="exact"/>
        <w:ind w:left="72"/>
        <w:jc w:val="both"/>
        <w:textAlignment w:val="baseline"/>
        <w:rPr>
          <w:spacing w:val="9"/>
          <w:sz w:val="21"/>
          <w:szCs w:val="21"/>
          <w:lang w:val="es-ES" w:eastAsia="es-ES"/>
        </w:rPr>
      </w:pPr>
      <w:r>
        <w:rPr>
          <w:rFonts w:ascii="Verdana" w:hAnsi="Verdana" w:cs="Verdana"/>
          <w:spacing w:val="9"/>
          <w:sz w:val="22"/>
          <w:szCs w:val="22"/>
          <w:lang w:val="es-ES" w:eastAsia="es-ES"/>
        </w:rPr>
        <w:t xml:space="preserve">Entre otros aspectos técnicos esbozados en su líbelo el señor </w:t>
      </w:r>
      <w:r>
        <w:rPr>
          <w:rFonts w:ascii="Verdana" w:hAnsi="Verdana" w:cs="Verdana"/>
          <w:b/>
          <w:bCs/>
          <w:spacing w:val="9"/>
          <w:sz w:val="22"/>
          <w:szCs w:val="22"/>
          <w:lang w:val="es-ES" w:eastAsia="es-ES"/>
        </w:rPr>
        <w:t>D</w:t>
      </w:r>
      <w:r w:rsidR="00513DA7">
        <w:rPr>
          <w:rFonts w:ascii="Verdana" w:hAnsi="Verdana" w:cs="Verdana"/>
          <w:b/>
          <w:bCs/>
          <w:spacing w:val="9"/>
          <w:sz w:val="22"/>
          <w:szCs w:val="22"/>
          <w:lang w:val="es-ES" w:eastAsia="es-ES"/>
        </w:rPr>
        <w:t>.M.M.</w:t>
      </w:r>
      <w:r>
        <w:rPr>
          <w:rFonts w:ascii="Verdana" w:hAnsi="Verdana" w:cs="Verdana"/>
          <w:b/>
          <w:bCs/>
          <w:spacing w:val="9"/>
          <w:sz w:val="22"/>
          <w:szCs w:val="22"/>
          <w:lang w:val="es-ES" w:eastAsia="es-ES"/>
        </w:rPr>
        <w:t xml:space="preserve">, cédula de identidad número </w:t>
      </w:r>
      <w:r w:rsidR="00513DA7">
        <w:rPr>
          <w:rFonts w:ascii="Verdana" w:hAnsi="Verdana" w:cs="Verdana"/>
          <w:b/>
          <w:bCs/>
          <w:spacing w:val="9"/>
          <w:sz w:val="22"/>
          <w:szCs w:val="22"/>
          <w:lang w:val="es-ES" w:eastAsia="es-ES"/>
        </w:rPr>
        <w:t>…</w:t>
      </w:r>
      <w:r>
        <w:rPr>
          <w:rFonts w:ascii="Verdana" w:hAnsi="Verdana" w:cs="Verdana"/>
          <w:b/>
          <w:bCs/>
          <w:spacing w:val="9"/>
          <w:sz w:val="22"/>
          <w:szCs w:val="22"/>
          <w:lang w:val="es-ES" w:eastAsia="es-ES"/>
        </w:rPr>
        <w:t xml:space="preserve">, </w:t>
      </w:r>
      <w:r>
        <w:rPr>
          <w:rFonts w:ascii="Verdana" w:hAnsi="Verdana" w:cs="Verdana"/>
          <w:spacing w:val="9"/>
          <w:sz w:val="22"/>
          <w:szCs w:val="22"/>
          <w:lang w:val="es-ES" w:eastAsia="es-ES"/>
        </w:rPr>
        <w:t xml:space="preserve">permisionario de la ruta 1208, se presenta el día 5 de diciembre de 2016 </w:t>
      </w:r>
    </w:p>
    <w:p w:rsidR="00000000" w:rsidRDefault="00E23D57">
      <w:pPr>
        <w:widowControl/>
        <w:rPr>
          <w:sz w:val="24"/>
          <w:szCs w:val="24"/>
        </w:rPr>
        <w:sectPr w:rsidR="00000000">
          <w:pgSz w:w="12240" w:h="15840"/>
          <w:pgMar w:top="1060" w:right="1473" w:bottom="230" w:left="1747" w:header="720" w:footer="720" w:gutter="0"/>
          <w:cols w:space="720"/>
          <w:noEndnote/>
        </w:sectPr>
      </w:pPr>
    </w:p>
    <w:p w:rsidR="00000000" w:rsidRDefault="00E23D57">
      <w:pPr>
        <w:kinsoku w:val="0"/>
        <w:overflowPunct w:val="0"/>
        <w:autoSpaceDE/>
        <w:autoSpaceDN/>
        <w:adjustRightInd/>
        <w:spacing w:before="16" w:line="291" w:lineRule="exact"/>
        <w:ind w:left="72" w:right="72"/>
        <w:jc w:val="both"/>
        <w:textAlignment w:val="baseline"/>
        <w:rPr>
          <w:rFonts w:ascii="Verdana" w:hAnsi="Verdana" w:cs="Verdana"/>
          <w:spacing w:val="-1"/>
          <w:sz w:val="24"/>
          <w:szCs w:val="24"/>
          <w:lang w:val="es-ES" w:eastAsia="es-ES"/>
        </w:rPr>
      </w:pPr>
      <w:r>
        <w:rPr>
          <w:rFonts w:ascii="Verdana" w:hAnsi="Verdana" w:cs="Verdana"/>
          <w:spacing w:val="-1"/>
          <w:sz w:val="24"/>
          <w:szCs w:val="24"/>
          <w:lang w:val="es-ES" w:eastAsia="es-ES"/>
        </w:rPr>
        <w:lastRenderedPageBreak/>
        <w:t>ante el Tribunal Administrativo de Transporte y manifiesta en</w:t>
      </w:r>
      <w:r>
        <w:rPr>
          <w:rFonts w:ascii="Verdana" w:hAnsi="Verdana" w:cs="Verdana"/>
          <w:spacing w:val="-1"/>
          <w:sz w:val="24"/>
          <w:szCs w:val="24"/>
          <w:lang w:val="es-ES" w:eastAsia="es-ES"/>
        </w:rPr>
        <w:t xml:space="preserve"> lo conducente, que en el acto se da por notificado del acuerdo impugnado ya que el Consejo no lo comunicó a los permisionarios de ruta. Manifiesta que se opone al acuerdo por cuanto el ECA, con relación a los entes acreditados, mantiene la gran mayoría en</w:t>
      </w:r>
      <w:r>
        <w:rPr>
          <w:rFonts w:ascii="Verdana" w:hAnsi="Verdana" w:cs="Verdana"/>
          <w:spacing w:val="-1"/>
          <w:sz w:val="24"/>
          <w:szCs w:val="24"/>
          <w:lang w:val="es-ES" w:eastAsia="es-ES"/>
        </w:rPr>
        <w:t xml:space="preserve"> el área de la ingeniería civil, pero en modo alguno tiene acreditados en estudios de transporte público, lo cual no es procedente dado la seriedad de la evaluación y calificación de la calidad del servicio y en las acreditaciones del ECA, los organismos l</w:t>
      </w:r>
      <w:r>
        <w:rPr>
          <w:rFonts w:ascii="Verdana" w:hAnsi="Verdana" w:cs="Verdana"/>
          <w:spacing w:val="-1"/>
          <w:sz w:val="24"/>
          <w:szCs w:val="24"/>
          <w:lang w:val="es-ES" w:eastAsia="es-ES"/>
        </w:rPr>
        <w:t xml:space="preserve">o están en áreas muy distintas a la requerida lo que resta credibilidad, además de ser insuficientes para la demanda de empresas de Transporte remunerado de personas que la requerirán y de esto es consiente el CTP. Es inconcebible que el empresario que es </w:t>
      </w:r>
      <w:r>
        <w:rPr>
          <w:rFonts w:ascii="Verdana" w:hAnsi="Verdana" w:cs="Verdana"/>
          <w:spacing w:val="-1"/>
          <w:sz w:val="24"/>
          <w:szCs w:val="24"/>
          <w:lang w:val="es-ES" w:eastAsia="es-ES"/>
        </w:rPr>
        <w:t>quién pagará los estudios, no pueda escoger al más idóneo sino aceptar la imposición del ECA, aunque ésta misma sabe que no tienen la competencia requerida. Refiere entonces tener una gran reserva sobre la capacidad de los estudios de órganos acreditados e</w:t>
      </w:r>
      <w:r>
        <w:rPr>
          <w:rFonts w:ascii="Verdana" w:hAnsi="Verdana" w:cs="Verdana"/>
          <w:spacing w:val="-1"/>
          <w:sz w:val="24"/>
          <w:szCs w:val="24"/>
          <w:lang w:val="es-ES" w:eastAsia="es-ES"/>
        </w:rPr>
        <w:t>n asfalto y construcción respecto de estudios sobre la calidad del servicio. Finalmente señala que el acto es nulo y debe aplicársele el numeral 160 de la Ley General de la Administración Pública al ser un acto discrecional y contrario a la lógica la cienc</w:t>
      </w:r>
      <w:r>
        <w:rPr>
          <w:rFonts w:ascii="Verdana" w:hAnsi="Verdana" w:cs="Verdana"/>
          <w:spacing w:val="-1"/>
          <w:sz w:val="24"/>
          <w:szCs w:val="24"/>
          <w:lang w:val="es-ES" w:eastAsia="es-ES"/>
        </w:rPr>
        <w:t>ia la justicia y la conveniencia y al no existir en el país el conocimiento requerido y estar los estudios en un pequeño grupo de empresas acreditadas, cuya expertis en la materia no es la debida y al tener derecho de escoger los empresarios de buses por s</w:t>
      </w:r>
      <w:r>
        <w:rPr>
          <w:rFonts w:ascii="Verdana" w:hAnsi="Verdana" w:cs="Verdana"/>
          <w:spacing w:val="-1"/>
          <w:sz w:val="24"/>
          <w:szCs w:val="24"/>
          <w:lang w:val="es-ES" w:eastAsia="es-ES"/>
        </w:rPr>
        <w:t>er quienes pagan y no poderlo hacer, es que el acuerdo es nulo.</w:t>
      </w:r>
    </w:p>
    <w:p w:rsidR="00000000" w:rsidRDefault="00E23D57">
      <w:pPr>
        <w:kinsoku w:val="0"/>
        <w:overflowPunct w:val="0"/>
        <w:autoSpaceDE/>
        <w:autoSpaceDN/>
        <w:adjustRightInd/>
        <w:spacing w:before="289" w:line="291"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No obstante, lo anterior, el recurso debe declararse sin lugar, ya que, la actuación del Consejo de Transporte Público se encuentra enmarcada dentro del Principio de Legalidad y el acto que ac</w:t>
      </w:r>
      <w:r>
        <w:rPr>
          <w:rFonts w:ascii="Verdana" w:hAnsi="Verdana" w:cs="Verdana"/>
          <w:spacing w:val="-2"/>
          <w:sz w:val="24"/>
          <w:szCs w:val="24"/>
          <w:lang w:val="es-ES" w:eastAsia="es-ES"/>
        </w:rPr>
        <w:t xml:space="preserve">oge el informe </w:t>
      </w:r>
      <w:r>
        <w:rPr>
          <w:rFonts w:ascii="Verdana" w:hAnsi="Verdana" w:cs="Verdana"/>
          <w:b/>
          <w:bCs/>
          <w:spacing w:val="-2"/>
          <w:sz w:val="24"/>
          <w:szCs w:val="24"/>
          <w:lang w:val="es-ES" w:eastAsia="es-ES"/>
        </w:rPr>
        <w:t xml:space="preserve">DTE-2016-1153 de 1 de setiembre de 2016 de la Dirección Técnica, </w:t>
      </w:r>
      <w:r>
        <w:rPr>
          <w:rFonts w:ascii="Verdana" w:hAnsi="Verdana" w:cs="Verdana"/>
          <w:spacing w:val="-2"/>
          <w:sz w:val="24"/>
          <w:szCs w:val="24"/>
          <w:lang w:val="es-ES" w:eastAsia="es-ES"/>
        </w:rPr>
        <w:t>se encuentra conforme en todos sus elementos esenciales y adecuadamente motivado, pues la decisión tomada, no constituye un acto discrecional de la Administración sino un manda</w:t>
      </w:r>
      <w:r w:rsidR="00513DA7">
        <w:rPr>
          <w:rFonts w:ascii="Verdana" w:hAnsi="Verdana" w:cs="Verdana"/>
          <w:spacing w:val="-2"/>
          <w:sz w:val="24"/>
          <w:szCs w:val="24"/>
          <w:lang w:val="es-ES" w:eastAsia="es-ES"/>
        </w:rPr>
        <w:t xml:space="preserve">to de </w:t>
      </w:r>
      <w:r>
        <w:rPr>
          <w:rFonts w:ascii="Verdana" w:hAnsi="Verdana" w:cs="Verdana"/>
          <w:spacing w:val="-2"/>
          <w:sz w:val="24"/>
          <w:szCs w:val="24"/>
          <w:lang w:val="es-ES" w:eastAsia="es-ES"/>
        </w:rPr>
        <w:t>Ley que debe el CTP cumplir.</w:t>
      </w:r>
    </w:p>
    <w:p w:rsidR="00000000" w:rsidRDefault="00E23D57">
      <w:pPr>
        <w:kinsoku w:val="0"/>
        <w:overflowPunct w:val="0"/>
        <w:autoSpaceDE/>
        <w:autoSpaceDN/>
        <w:adjustRightInd/>
        <w:spacing w:before="285" w:line="291" w:lineRule="exact"/>
        <w:ind w:lef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La Ley N° 8279, Ley del "Sistema Nacional para la Calidad" </w:t>
      </w:r>
      <w:r>
        <w:rPr>
          <w:rFonts w:ascii="Verdana" w:hAnsi="Verdana" w:cs="Verdana"/>
          <w:sz w:val="24"/>
          <w:szCs w:val="24"/>
          <w:lang w:val="es-ES" w:eastAsia="es-ES"/>
        </w:rPr>
        <w:t>establece en su artículo 34 lo siguiente:</w:t>
      </w:r>
    </w:p>
    <w:p w:rsidR="00000000" w:rsidRDefault="00E23D57">
      <w:pPr>
        <w:kinsoku w:val="0"/>
        <w:overflowPunct w:val="0"/>
        <w:autoSpaceDE/>
        <w:autoSpaceDN/>
        <w:adjustRightInd/>
        <w:spacing w:before="285" w:line="223" w:lineRule="exact"/>
        <w:ind w:left="504" w:right="432"/>
        <w:jc w:val="both"/>
        <w:textAlignment w:val="baseline"/>
        <w:rPr>
          <w:rFonts w:ascii="Verdana" w:hAnsi="Verdana" w:cs="Verdana"/>
          <w:i/>
          <w:iCs/>
          <w:sz w:val="18"/>
          <w:szCs w:val="18"/>
          <w:lang w:val="es-ES" w:eastAsia="es-ES"/>
        </w:rPr>
      </w:pPr>
      <w:r>
        <w:rPr>
          <w:rFonts w:ascii="Verdana" w:hAnsi="Verdana" w:cs="Verdana"/>
          <w:b/>
          <w:bCs/>
          <w:i/>
          <w:iCs/>
          <w:sz w:val="18"/>
          <w:szCs w:val="18"/>
          <w:lang w:val="es-ES" w:eastAsia="es-ES"/>
        </w:rPr>
        <w:t xml:space="preserve">"Artículo </w:t>
      </w:r>
      <w:r>
        <w:rPr>
          <w:rFonts w:ascii="Verdana" w:hAnsi="Verdana" w:cs="Verdana"/>
          <w:i/>
          <w:iCs/>
          <w:sz w:val="18"/>
          <w:szCs w:val="18"/>
          <w:lang w:val="es-ES" w:eastAsia="es-ES"/>
        </w:rPr>
        <w:t>34.-Servicios a las Entidades Públicas. 'Todas las instituciones públicas que, para el cumplimiento de sus fu</w:t>
      </w:r>
      <w:r>
        <w:rPr>
          <w:rFonts w:ascii="Verdana" w:hAnsi="Verdana" w:cs="Verdana"/>
          <w:i/>
          <w:iCs/>
          <w:sz w:val="18"/>
          <w:szCs w:val="18"/>
          <w:lang w:val="es-ES" w:eastAsia="es-ES"/>
        </w:rPr>
        <w:t xml:space="preserve">nciones, requieren servicios de laboratorios de ensayo, laboratorios de calibración, entes de inspección </w:t>
      </w:r>
      <w:r>
        <w:rPr>
          <w:rFonts w:ascii="Verdana" w:hAnsi="Verdana" w:cs="Verdana"/>
          <w:sz w:val="24"/>
          <w:szCs w:val="24"/>
          <w:lang w:val="es-ES" w:eastAsia="es-ES"/>
        </w:rPr>
        <w:t xml:space="preserve">y </w:t>
      </w:r>
      <w:r>
        <w:rPr>
          <w:rFonts w:ascii="Verdana" w:hAnsi="Verdana" w:cs="Verdana"/>
          <w:i/>
          <w:iCs/>
          <w:sz w:val="18"/>
          <w:szCs w:val="18"/>
          <w:lang w:val="es-ES" w:eastAsia="es-ES"/>
        </w:rPr>
        <w:t>entes de certificación, deberán utilizar los acreditados o reconocidos por acuerdos de reconocimiento mutuo entre el ECA y las entidades internaci</w:t>
      </w:r>
      <w:r>
        <w:rPr>
          <w:rFonts w:ascii="Verdana" w:hAnsi="Verdana" w:cs="Verdana"/>
          <w:i/>
          <w:iCs/>
          <w:sz w:val="18"/>
          <w:szCs w:val="18"/>
          <w:lang w:val="es-ES" w:eastAsia="es-ES"/>
        </w:rPr>
        <w:t>onales equivalentes.</w:t>
      </w:r>
    </w:p>
    <w:p w:rsidR="00000000" w:rsidRDefault="00E23D57">
      <w:pPr>
        <w:kinsoku w:val="0"/>
        <w:overflowPunct w:val="0"/>
        <w:autoSpaceDE/>
        <w:autoSpaceDN/>
        <w:adjustRightInd/>
        <w:spacing w:before="216" w:line="226" w:lineRule="exact"/>
        <w:ind w:left="504"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Los laboratorios estatales deberán acreditarse ante el ECA, de conformidad con el reglamento respectivo."</w:t>
      </w:r>
    </w:p>
    <w:p w:rsidR="00000000" w:rsidRDefault="00E23D57">
      <w:pPr>
        <w:kinsoku w:val="0"/>
        <w:overflowPunct w:val="0"/>
        <w:autoSpaceDE/>
        <w:autoSpaceDN/>
        <w:adjustRightInd/>
        <w:spacing w:before="303" w:line="291" w:lineRule="exact"/>
        <w:ind w:left="72"/>
        <w:jc w:val="both"/>
        <w:textAlignment w:val="baseline"/>
        <w:rPr>
          <w:rFonts w:ascii="Verdana" w:hAnsi="Verdana" w:cs="Verdana"/>
          <w:i/>
          <w:iCs/>
          <w:sz w:val="24"/>
          <w:szCs w:val="24"/>
          <w:lang w:val="es-ES" w:eastAsia="es-ES"/>
        </w:rPr>
      </w:pPr>
      <w:r>
        <w:rPr>
          <w:rFonts w:ascii="Verdana" w:hAnsi="Verdana" w:cs="Verdana"/>
          <w:sz w:val="24"/>
          <w:szCs w:val="24"/>
          <w:lang w:val="es-ES" w:eastAsia="es-ES"/>
        </w:rPr>
        <w:t>De acuerdo con lo anterior, es claro que el Consejo de Transporte Público se ve compelido al cumplimiento de la norma, sin embarg</w:t>
      </w:r>
      <w:r>
        <w:rPr>
          <w:rFonts w:ascii="Verdana" w:hAnsi="Verdana" w:cs="Verdana"/>
          <w:sz w:val="24"/>
          <w:szCs w:val="24"/>
          <w:lang w:val="es-ES" w:eastAsia="es-ES"/>
        </w:rPr>
        <w:t xml:space="preserve">o, en el mismo acuerdo se determina en su </w:t>
      </w:r>
      <w:r>
        <w:rPr>
          <w:rFonts w:ascii="Verdana" w:hAnsi="Verdana" w:cs="Verdana"/>
          <w:b/>
          <w:bCs/>
          <w:sz w:val="24"/>
          <w:szCs w:val="24"/>
          <w:lang w:val="es-ES" w:eastAsia="es-ES"/>
        </w:rPr>
        <w:t xml:space="preserve">POR TANTO sexto </w:t>
      </w:r>
      <w:r>
        <w:rPr>
          <w:rFonts w:ascii="Verdana" w:hAnsi="Verdana" w:cs="Verdana"/>
          <w:sz w:val="24"/>
          <w:szCs w:val="24"/>
          <w:lang w:val="es-ES" w:eastAsia="es-ES"/>
        </w:rPr>
        <w:t xml:space="preserve">que: "6. </w:t>
      </w:r>
      <w:r>
        <w:rPr>
          <w:rFonts w:ascii="Verdana" w:hAnsi="Verdana" w:cs="Verdana"/>
          <w:i/>
          <w:iCs/>
          <w:sz w:val="24"/>
          <w:szCs w:val="24"/>
          <w:lang w:val="es-ES" w:eastAsia="es-ES"/>
        </w:rPr>
        <w:t>En caso que no exista capacidad instalada por parte de los Organismos de Inspección</w:t>
      </w:r>
    </w:p>
    <w:p w:rsidR="00000000" w:rsidRDefault="00E23D57">
      <w:pPr>
        <w:widowControl/>
        <w:rPr>
          <w:sz w:val="24"/>
          <w:szCs w:val="24"/>
        </w:rPr>
        <w:sectPr w:rsidR="00000000">
          <w:pgSz w:w="12240" w:h="15840"/>
          <w:pgMar w:top="840" w:right="1543" w:bottom="364" w:left="1677" w:header="720" w:footer="720" w:gutter="0"/>
          <w:cols w:space="720"/>
          <w:noEndnote/>
        </w:sectPr>
      </w:pPr>
    </w:p>
    <w:p w:rsidR="00000000" w:rsidRDefault="00E23D57">
      <w:pPr>
        <w:kinsoku w:val="0"/>
        <w:overflowPunct w:val="0"/>
        <w:autoSpaceDE/>
        <w:autoSpaceDN/>
        <w:adjustRightInd/>
        <w:spacing w:before="14" w:line="291" w:lineRule="exact"/>
        <w:ind w:left="936" w:right="288"/>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lastRenderedPageBreak/>
        <w:t>acreditados. ante la ECA, o que aun existiendo dicha capacidad, la misma no sea suficiente para cubrir la cantidad de estudios que conlleva el transporte público en la modalidad de autobús y busetas, de manera excepcional y por única vez, se autoriza la re</w:t>
      </w:r>
      <w:r>
        <w:rPr>
          <w:rFonts w:ascii="Verdana" w:hAnsi="Verdana" w:cs="Verdana"/>
          <w:i/>
          <w:iCs/>
          <w:sz w:val="24"/>
          <w:szCs w:val="24"/>
          <w:lang w:val="es-ES" w:eastAsia="es-ES"/>
        </w:rPr>
        <w:t>alización del estudio de calidad, por parte de órganos no acreditados, para lo cual, los concesionarios y permisionarios deberán demostrar dicha circunstancia, aportando ante el Consejo de Transporte Púbico el documento idóneo emitido por la ECA, tal y com</w:t>
      </w:r>
      <w:r>
        <w:rPr>
          <w:rFonts w:ascii="Verdana" w:hAnsi="Verdana" w:cs="Verdana"/>
          <w:i/>
          <w:iCs/>
          <w:sz w:val="24"/>
          <w:szCs w:val="24"/>
          <w:lang w:val="es-ES" w:eastAsia="es-ES"/>
        </w:rPr>
        <w:t>o se expresa en el considerando sétimo del presente acuerdo. Asimismo, el reconocimiento del costo de dicho estudio, se hará considerando el arancel establecido por el Colegio Profesional que corresponda".</w:t>
      </w:r>
    </w:p>
    <w:p w:rsidR="00000000" w:rsidRDefault="00E23D57">
      <w:pPr>
        <w:kinsoku w:val="0"/>
        <w:overflowPunct w:val="0"/>
        <w:autoSpaceDE/>
        <w:autoSpaceDN/>
        <w:adjustRightInd/>
        <w:spacing w:before="291" w:line="295" w:lineRule="exact"/>
        <w:ind w:left="936" w:right="288"/>
        <w:jc w:val="both"/>
        <w:textAlignment w:val="baseline"/>
        <w:rPr>
          <w:rFonts w:ascii="Tahoma" w:hAnsi="Tahoma" w:cs="Tahoma"/>
          <w:sz w:val="25"/>
          <w:szCs w:val="25"/>
          <w:lang w:val="es-ES" w:eastAsia="es-ES"/>
        </w:rPr>
      </w:pPr>
      <w:r>
        <w:rPr>
          <w:rFonts w:ascii="Tahoma" w:hAnsi="Tahoma" w:cs="Tahoma"/>
          <w:sz w:val="25"/>
          <w:szCs w:val="25"/>
          <w:lang w:val="es-ES" w:eastAsia="es-ES"/>
        </w:rPr>
        <w:t>Respecto al costo de los estudios la Administració</w:t>
      </w:r>
      <w:r>
        <w:rPr>
          <w:rFonts w:ascii="Tahoma" w:hAnsi="Tahoma" w:cs="Tahoma"/>
          <w:sz w:val="25"/>
          <w:szCs w:val="25"/>
          <w:lang w:val="es-ES" w:eastAsia="es-ES"/>
        </w:rPr>
        <w:t>n dispuso, en el inciso 5, del acuerdo impugnado, su reconocimiento vía tarifaria, por lo que no lleva razón en sus alegatos él recurrente.</w:t>
      </w:r>
    </w:p>
    <w:p w:rsidR="00000000" w:rsidRDefault="00E23D57">
      <w:pPr>
        <w:kinsoku w:val="0"/>
        <w:overflowPunct w:val="0"/>
        <w:autoSpaceDE/>
        <w:autoSpaceDN/>
        <w:adjustRightInd/>
        <w:spacing w:before="291" w:line="295" w:lineRule="exact"/>
        <w:ind w:left="936" w:right="288"/>
        <w:jc w:val="both"/>
        <w:textAlignment w:val="baseline"/>
        <w:rPr>
          <w:rFonts w:ascii="Tahoma" w:hAnsi="Tahoma" w:cs="Tahoma"/>
          <w:sz w:val="25"/>
          <w:szCs w:val="25"/>
          <w:lang w:val="es-ES" w:eastAsia="es-ES"/>
        </w:rPr>
      </w:pPr>
      <w:r>
        <w:rPr>
          <w:rFonts w:ascii="Tahoma" w:hAnsi="Tahoma" w:cs="Tahoma"/>
          <w:sz w:val="25"/>
          <w:szCs w:val="25"/>
          <w:lang w:val="es-ES" w:eastAsia="es-ES"/>
        </w:rPr>
        <w:t>Lo anterior, responde en mucho a las preocupaciones presentadas por el recurrente en su líbelo y deja claro para est</w:t>
      </w:r>
      <w:r>
        <w:rPr>
          <w:rFonts w:ascii="Tahoma" w:hAnsi="Tahoma" w:cs="Tahoma"/>
          <w:sz w:val="25"/>
          <w:szCs w:val="25"/>
          <w:lang w:val="es-ES" w:eastAsia="es-ES"/>
        </w:rPr>
        <w:t>e colegio que en la especie el Consejo ha actuado conforme al ordenamiento jurídico.</w:t>
      </w:r>
    </w:p>
    <w:p w:rsidR="00000000" w:rsidRDefault="00E23D57">
      <w:pPr>
        <w:kinsoku w:val="0"/>
        <w:overflowPunct w:val="0"/>
        <w:autoSpaceDE/>
        <w:autoSpaceDN/>
        <w:adjustRightInd/>
        <w:spacing w:before="576" w:line="291" w:lineRule="exact"/>
        <w:jc w:val="center"/>
        <w:textAlignment w:val="baseline"/>
        <w:rPr>
          <w:rFonts w:ascii="Tahoma" w:hAnsi="Tahoma" w:cs="Tahoma"/>
          <w:b/>
          <w:bCs/>
          <w:spacing w:val="7"/>
          <w:sz w:val="25"/>
          <w:szCs w:val="25"/>
          <w:lang w:val="es-ES" w:eastAsia="es-ES"/>
        </w:rPr>
      </w:pPr>
      <w:r>
        <w:rPr>
          <w:rFonts w:ascii="Tahoma" w:hAnsi="Tahoma" w:cs="Tahoma"/>
          <w:b/>
          <w:bCs/>
          <w:spacing w:val="7"/>
          <w:sz w:val="25"/>
          <w:szCs w:val="25"/>
          <w:lang w:val="es-ES" w:eastAsia="es-ES"/>
        </w:rPr>
        <w:t>POR TANTO</w:t>
      </w:r>
    </w:p>
    <w:p w:rsidR="00000000" w:rsidRDefault="00E23D57">
      <w:pPr>
        <w:numPr>
          <w:ilvl w:val="0"/>
          <w:numId w:val="13"/>
        </w:numPr>
        <w:kinsoku w:val="0"/>
        <w:overflowPunct w:val="0"/>
        <w:autoSpaceDE/>
        <w:autoSpaceDN/>
        <w:adjustRightInd/>
        <w:spacing w:before="275" w:line="295" w:lineRule="exact"/>
        <w:ind w:right="288"/>
        <w:jc w:val="both"/>
        <w:textAlignment w:val="baseline"/>
        <w:rPr>
          <w:rFonts w:ascii="Tahoma" w:hAnsi="Tahoma" w:cs="Tahoma"/>
          <w:b/>
          <w:bCs/>
          <w:sz w:val="25"/>
          <w:szCs w:val="25"/>
          <w:lang w:val="es-ES" w:eastAsia="es-ES"/>
        </w:rPr>
      </w:pPr>
      <w:r>
        <w:rPr>
          <w:rFonts w:ascii="Tahoma" w:hAnsi="Tahoma" w:cs="Tahoma"/>
          <w:sz w:val="25"/>
          <w:szCs w:val="25"/>
          <w:lang w:val="es-ES" w:eastAsia="es-ES"/>
        </w:rPr>
        <w:t xml:space="preserve">Se declara sin lugar el </w:t>
      </w:r>
      <w:r>
        <w:rPr>
          <w:rFonts w:ascii="Verdana" w:hAnsi="Verdana" w:cs="Verdana"/>
          <w:b/>
          <w:bCs/>
          <w:sz w:val="19"/>
          <w:szCs w:val="19"/>
          <w:lang w:val="es-ES" w:eastAsia="es-ES"/>
        </w:rPr>
        <w:t xml:space="preserve">RECURSO DE APELACIÓN Y NULIDAD CONCOMITANTE E INCIDENTE DE SUSPENSIÓN, </w:t>
      </w:r>
      <w:r>
        <w:rPr>
          <w:rFonts w:ascii="Tahoma" w:hAnsi="Tahoma" w:cs="Tahoma"/>
          <w:sz w:val="25"/>
          <w:szCs w:val="25"/>
          <w:lang w:val="es-ES" w:eastAsia="es-ES"/>
        </w:rPr>
        <w:t xml:space="preserve">interpuesto por </w:t>
      </w:r>
      <w:r>
        <w:rPr>
          <w:rFonts w:ascii="Tahoma" w:hAnsi="Tahoma" w:cs="Tahoma"/>
          <w:b/>
          <w:bCs/>
          <w:sz w:val="25"/>
          <w:szCs w:val="25"/>
          <w:lang w:val="es-ES" w:eastAsia="es-ES"/>
        </w:rPr>
        <w:t>D</w:t>
      </w:r>
      <w:r w:rsidR="00513DA7">
        <w:rPr>
          <w:rFonts w:ascii="Tahoma" w:hAnsi="Tahoma" w:cs="Tahoma"/>
          <w:b/>
          <w:bCs/>
          <w:sz w:val="25"/>
          <w:szCs w:val="25"/>
          <w:lang w:val="es-ES" w:eastAsia="es-ES"/>
        </w:rPr>
        <w:t>.M.M.</w:t>
      </w:r>
      <w:r>
        <w:rPr>
          <w:rFonts w:ascii="Tahoma" w:hAnsi="Tahoma" w:cs="Tahoma"/>
          <w:b/>
          <w:bCs/>
          <w:sz w:val="25"/>
          <w:szCs w:val="25"/>
          <w:lang w:val="es-ES" w:eastAsia="es-ES"/>
        </w:rPr>
        <w:t>, cédula de identidad</w:t>
      </w:r>
      <w:r>
        <w:rPr>
          <w:rFonts w:ascii="Tahoma" w:hAnsi="Tahoma" w:cs="Tahoma"/>
          <w:b/>
          <w:bCs/>
          <w:sz w:val="25"/>
          <w:szCs w:val="25"/>
          <w:lang w:val="es-ES" w:eastAsia="es-ES"/>
        </w:rPr>
        <w:t xml:space="preserve"> número </w:t>
      </w:r>
      <w:r w:rsidR="00513DA7">
        <w:rPr>
          <w:rFonts w:ascii="Tahoma" w:hAnsi="Tahoma" w:cs="Tahoma"/>
          <w:b/>
          <w:bCs/>
          <w:sz w:val="25"/>
          <w:szCs w:val="25"/>
          <w:lang w:val="es-ES" w:eastAsia="es-ES"/>
        </w:rPr>
        <w:t>…</w:t>
      </w:r>
      <w:r>
        <w:rPr>
          <w:rFonts w:ascii="Tahoma" w:hAnsi="Tahoma" w:cs="Tahoma"/>
          <w:b/>
          <w:bCs/>
          <w:sz w:val="25"/>
          <w:szCs w:val="25"/>
          <w:lang w:val="es-ES" w:eastAsia="es-ES"/>
        </w:rPr>
        <w:t xml:space="preserve">, </w:t>
      </w:r>
      <w:r>
        <w:rPr>
          <w:rFonts w:ascii="Tahoma" w:hAnsi="Tahoma" w:cs="Tahoma"/>
          <w:sz w:val="25"/>
          <w:szCs w:val="25"/>
          <w:lang w:val="es-ES" w:eastAsia="es-ES"/>
        </w:rPr>
        <w:t xml:space="preserve">contra </w:t>
      </w:r>
      <w:r>
        <w:rPr>
          <w:rFonts w:ascii="Tahoma" w:hAnsi="Tahoma" w:cs="Tahoma"/>
          <w:b/>
          <w:bCs/>
          <w:sz w:val="25"/>
          <w:szCs w:val="25"/>
          <w:lang w:val="es-ES" w:eastAsia="es-ES"/>
        </w:rPr>
        <w:t>el artículo 8.1 de la Sesión Ordinaria 42-2016 de 01 de setiembre de 2016, celebrado por la Junta Directiva del Consejo de Transporte Público.</w:t>
      </w:r>
    </w:p>
    <w:p w:rsidR="00513DA7" w:rsidRPr="00513DA7" w:rsidRDefault="00E23D57" w:rsidP="00513DA7">
      <w:pPr>
        <w:numPr>
          <w:ilvl w:val="0"/>
          <w:numId w:val="14"/>
        </w:numPr>
        <w:kinsoku w:val="0"/>
        <w:overflowPunct w:val="0"/>
        <w:autoSpaceDE/>
        <w:autoSpaceDN/>
        <w:adjustRightInd/>
        <w:spacing w:before="281" w:after="95" w:line="315" w:lineRule="exact"/>
        <w:ind w:right="288"/>
        <w:jc w:val="both"/>
        <w:textAlignment w:val="baseline"/>
        <w:rPr>
          <w:sz w:val="24"/>
          <w:szCs w:val="24"/>
        </w:rPr>
      </w:pPr>
      <w:r>
        <w:rPr>
          <w:rFonts w:ascii="Tahoma" w:hAnsi="Tahoma" w:cs="Tahoma"/>
          <w:sz w:val="25"/>
          <w:szCs w:val="25"/>
          <w:lang w:val="es-ES" w:eastAsia="es-ES"/>
        </w:rPr>
        <w:t>De conformidad con el artículo 22, inciso c), de la citada Ley 7969, la presente</w:t>
      </w:r>
      <w:r>
        <w:rPr>
          <w:rFonts w:ascii="Tahoma" w:hAnsi="Tahoma" w:cs="Tahoma"/>
          <w:sz w:val="25"/>
          <w:szCs w:val="25"/>
          <w:lang w:val="es-ES" w:eastAsia="es-ES"/>
        </w:rPr>
        <w:t xml:space="preserve"> resolución no tiene ulterior recurso por lo que, </w:t>
      </w:r>
      <w:r>
        <w:rPr>
          <w:rFonts w:ascii="Tahoma" w:hAnsi="Tahoma" w:cs="Tahoma"/>
          <w:b/>
          <w:bCs/>
          <w:sz w:val="25"/>
          <w:szCs w:val="25"/>
          <w:lang w:val="es-ES" w:eastAsia="es-ES"/>
        </w:rPr>
        <w:t xml:space="preserve">se </w:t>
      </w:r>
      <w:r>
        <w:rPr>
          <w:rFonts w:ascii="Verdana" w:hAnsi="Verdana" w:cs="Verdana"/>
          <w:i/>
          <w:iCs/>
          <w:sz w:val="24"/>
          <w:szCs w:val="24"/>
          <w:lang w:val="es-ES" w:eastAsia="es-ES"/>
        </w:rPr>
        <w:t xml:space="preserve">tiene por agotada la vía administrativa. </w:t>
      </w:r>
      <w:r>
        <w:rPr>
          <w:rFonts w:ascii="Tahoma" w:hAnsi="Tahoma" w:cs="Tahoma"/>
          <w:b/>
          <w:bCs/>
          <w:sz w:val="25"/>
          <w:szCs w:val="25"/>
          <w:lang w:val="es-ES" w:eastAsia="es-ES"/>
        </w:rPr>
        <w:t>NOTIFIQUESE.</w:t>
      </w:r>
      <w:r>
        <w:rPr>
          <w:rFonts w:ascii="Tahoma" w:hAnsi="Tahoma" w:cs="Tahoma"/>
          <w:b/>
          <w:bCs/>
          <w:sz w:val="25"/>
          <w:szCs w:val="25"/>
          <w:lang w:val="es-ES" w:eastAsia="es-ES"/>
        </w:rPr>
        <w:noBreakHyphen/>
      </w:r>
    </w:p>
    <w:p w:rsidR="00513DA7" w:rsidRDefault="00513DA7" w:rsidP="00513DA7">
      <w:pPr>
        <w:kinsoku w:val="0"/>
        <w:overflowPunct w:val="0"/>
        <w:autoSpaceDE/>
        <w:autoSpaceDN/>
        <w:adjustRightInd/>
        <w:spacing w:after="374" w:line="320" w:lineRule="exact"/>
        <w:ind w:left="936" w:right="72"/>
        <w:textAlignment w:val="baseline"/>
        <w:rPr>
          <w:rStyle w:val="CharacterStyle1"/>
          <w:i/>
          <w:iCs/>
          <w:spacing w:val="5"/>
          <w:sz w:val="26"/>
          <w:szCs w:val="26"/>
        </w:rPr>
      </w:pPr>
    </w:p>
    <w:p w:rsidR="00513DA7" w:rsidRPr="00CF40A0" w:rsidRDefault="00513DA7" w:rsidP="00513DA7">
      <w:pPr>
        <w:kinsoku w:val="0"/>
        <w:overflowPunct w:val="0"/>
        <w:autoSpaceDE/>
        <w:autoSpaceDN/>
        <w:adjustRightInd/>
        <w:spacing w:after="374" w:line="320" w:lineRule="exact"/>
        <w:ind w:left="936"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513DA7" w:rsidRDefault="00513DA7" w:rsidP="00513DA7">
      <w:pPr>
        <w:pStyle w:val="Style1"/>
        <w:kinsoku w:val="0"/>
        <w:overflowPunct w:val="0"/>
        <w:autoSpaceDE/>
        <w:autoSpaceDN/>
        <w:adjustRightInd/>
        <w:spacing w:after="301" w:line="288" w:lineRule="exact"/>
        <w:ind w:left="936"/>
        <w:jc w:val="center"/>
        <w:textAlignment w:val="baseline"/>
        <w:rPr>
          <w:rStyle w:val="CharacterStyle1"/>
          <w:b/>
          <w:i/>
          <w:iCs/>
          <w:spacing w:val="5"/>
          <w:sz w:val="26"/>
          <w:szCs w:val="26"/>
        </w:rPr>
      </w:pPr>
      <w:r>
        <w:rPr>
          <w:rStyle w:val="CharacterStyle1"/>
          <w:b/>
          <w:i/>
          <w:iCs/>
          <w:spacing w:val="5"/>
          <w:sz w:val="26"/>
          <w:szCs w:val="26"/>
        </w:rPr>
        <w:t>Presidente</w:t>
      </w:r>
    </w:p>
    <w:p w:rsidR="00513DA7" w:rsidRDefault="00513DA7" w:rsidP="00513DA7">
      <w:pPr>
        <w:kinsoku w:val="0"/>
        <w:overflowPunct w:val="0"/>
        <w:autoSpaceDE/>
        <w:autoSpaceDN/>
        <w:adjustRightInd/>
        <w:spacing w:before="38" w:line="260" w:lineRule="exact"/>
        <w:ind w:left="936"/>
        <w:jc w:val="center"/>
        <w:textAlignment w:val="baseline"/>
        <w:rPr>
          <w:rFonts w:ascii="Verdana" w:hAnsi="Verdana" w:cs="Verdana"/>
          <w:b/>
          <w:bCs/>
          <w:spacing w:val="-3"/>
          <w:sz w:val="21"/>
          <w:szCs w:val="21"/>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bookmarkStart w:id="0" w:name="_GoBack"/>
      <w:bookmarkEnd w:id="0"/>
      <w:r>
        <w:rPr>
          <w:rStyle w:val="CharacterStyle1"/>
          <w:b/>
          <w:i/>
          <w:iCs/>
          <w:spacing w:val="5"/>
          <w:sz w:val="26"/>
          <w:szCs w:val="26"/>
        </w:rPr>
        <w:tab/>
      </w:r>
      <w:r>
        <w:rPr>
          <w:rStyle w:val="CharacterStyle1"/>
          <w:b/>
          <w:i/>
          <w:iCs/>
          <w:spacing w:val="5"/>
          <w:sz w:val="26"/>
          <w:szCs w:val="26"/>
        </w:rPr>
        <w:tab/>
        <w:t xml:space="preserve">   JUEZ</w:t>
      </w:r>
    </w:p>
    <w:p w:rsidR="00513DA7" w:rsidRPr="00513DA7" w:rsidRDefault="00513DA7" w:rsidP="00513DA7">
      <w:pPr>
        <w:kinsoku w:val="0"/>
        <w:overflowPunct w:val="0"/>
        <w:autoSpaceDE/>
        <w:autoSpaceDN/>
        <w:adjustRightInd/>
        <w:spacing w:before="281" w:after="95" w:line="315" w:lineRule="exact"/>
        <w:ind w:left="936" w:right="288"/>
        <w:jc w:val="center"/>
        <w:textAlignment w:val="baseline"/>
        <w:rPr>
          <w:sz w:val="24"/>
          <w:szCs w:val="24"/>
        </w:rPr>
      </w:pPr>
    </w:p>
    <w:p w:rsidR="00000000" w:rsidRDefault="00513DA7" w:rsidP="00513DA7">
      <w:pPr>
        <w:kinsoku w:val="0"/>
        <w:overflowPunct w:val="0"/>
        <w:autoSpaceDE/>
        <w:autoSpaceDN/>
        <w:adjustRightInd/>
        <w:spacing w:before="281" w:after="95" w:line="315" w:lineRule="exact"/>
        <w:ind w:left="936" w:right="288"/>
        <w:jc w:val="both"/>
        <w:textAlignment w:val="baseline"/>
        <w:rPr>
          <w:sz w:val="24"/>
          <w:szCs w:val="24"/>
        </w:rPr>
        <w:sectPr w:rsidR="00000000">
          <w:pgSz w:w="12240" w:h="15840"/>
          <w:pgMar w:top="1100" w:right="1280" w:bottom="200" w:left="922" w:header="720" w:footer="720" w:gutter="0"/>
          <w:cols w:space="720"/>
          <w:noEndnote/>
        </w:sectPr>
      </w:pPr>
      <w:r>
        <w:rPr>
          <w:sz w:val="24"/>
          <w:szCs w:val="24"/>
        </w:rPr>
        <w:t xml:space="preserve"> </w:t>
      </w:r>
    </w:p>
    <w:p w:rsidR="00E23D57" w:rsidRDefault="00E23D57" w:rsidP="00513DA7">
      <w:pPr>
        <w:kinsoku w:val="0"/>
        <w:overflowPunct w:val="0"/>
        <w:autoSpaceDE/>
        <w:autoSpaceDN/>
        <w:adjustRightInd/>
        <w:spacing w:line="240" w:lineRule="exact"/>
        <w:textAlignment w:val="baseline"/>
        <w:rPr>
          <w:spacing w:val="-1"/>
          <w:sz w:val="21"/>
          <w:szCs w:val="21"/>
          <w:lang w:val="es-ES" w:eastAsia="es-ES"/>
        </w:rPr>
      </w:pPr>
    </w:p>
    <w:sectPr w:rsidR="00E23D57">
      <w:type w:val="continuous"/>
      <w:pgSz w:w="12240" w:h="15840"/>
      <w:pgMar w:top="1100" w:right="1545" w:bottom="200" w:left="887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67D3"/>
    <w:multiLevelType w:val="singleLevel"/>
    <w:tmpl w:val="15C82325"/>
    <w:lvl w:ilvl="0">
      <w:start w:val="1"/>
      <w:numFmt w:val="lowerLetter"/>
      <w:lvlText w:val="%1)"/>
      <w:lvlJc w:val="left"/>
      <w:pPr>
        <w:tabs>
          <w:tab w:val="num" w:pos="1440"/>
        </w:tabs>
        <w:ind w:left="648" w:firstLine="432"/>
      </w:pPr>
      <w:rPr>
        <w:rFonts w:ascii="Verdana" w:hAnsi="Verdana" w:cs="Verdana"/>
        <w:b/>
        <w:bCs/>
        <w:i/>
        <w:iCs/>
        <w:snapToGrid/>
        <w:sz w:val="22"/>
        <w:szCs w:val="22"/>
      </w:rPr>
    </w:lvl>
  </w:abstractNum>
  <w:abstractNum w:abstractNumId="1" w15:restartNumberingAfterBreak="0">
    <w:nsid w:val="008ECD5A"/>
    <w:multiLevelType w:val="singleLevel"/>
    <w:tmpl w:val="17050786"/>
    <w:lvl w:ilvl="0">
      <w:start w:val="1"/>
      <w:numFmt w:val="decimal"/>
      <w:lvlText w:val="%1."/>
      <w:lvlJc w:val="left"/>
      <w:pPr>
        <w:tabs>
          <w:tab w:val="num" w:pos="648"/>
        </w:tabs>
        <w:ind w:left="432"/>
      </w:pPr>
      <w:rPr>
        <w:rFonts w:ascii="Verdana" w:hAnsi="Verdana" w:cs="Verdana"/>
        <w:i/>
        <w:iCs/>
        <w:snapToGrid/>
        <w:sz w:val="16"/>
        <w:szCs w:val="16"/>
      </w:rPr>
    </w:lvl>
  </w:abstractNum>
  <w:abstractNum w:abstractNumId="2" w15:restartNumberingAfterBreak="0">
    <w:nsid w:val="01EA6E5E"/>
    <w:multiLevelType w:val="singleLevel"/>
    <w:tmpl w:val="2322515E"/>
    <w:lvl w:ilvl="0">
      <w:start w:val="1"/>
      <w:numFmt w:val="decimal"/>
      <w:lvlText w:val="%1.-"/>
      <w:lvlJc w:val="left"/>
      <w:pPr>
        <w:tabs>
          <w:tab w:val="num" w:pos="504"/>
        </w:tabs>
        <w:ind w:left="72"/>
      </w:pPr>
      <w:rPr>
        <w:rFonts w:ascii="Verdana" w:hAnsi="Verdana" w:cs="Verdana"/>
        <w:b/>
        <w:bCs/>
        <w:snapToGrid/>
        <w:sz w:val="24"/>
        <w:szCs w:val="24"/>
      </w:rPr>
    </w:lvl>
  </w:abstractNum>
  <w:abstractNum w:abstractNumId="3" w15:restartNumberingAfterBreak="0">
    <w:nsid w:val="03255E9D"/>
    <w:multiLevelType w:val="singleLevel"/>
    <w:tmpl w:val="4F2E06F2"/>
    <w:lvl w:ilvl="0">
      <w:start w:val="1"/>
      <w:numFmt w:val="upperRoman"/>
      <w:lvlText w:val="%1.-"/>
      <w:lvlJc w:val="left"/>
      <w:pPr>
        <w:tabs>
          <w:tab w:val="num" w:pos="1728"/>
        </w:tabs>
        <w:ind w:left="936"/>
      </w:pPr>
      <w:rPr>
        <w:rFonts w:ascii="Tahoma" w:hAnsi="Tahoma" w:cs="Tahoma"/>
        <w:snapToGrid/>
        <w:sz w:val="25"/>
        <w:szCs w:val="25"/>
      </w:rPr>
    </w:lvl>
  </w:abstractNum>
  <w:abstractNum w:abstractNumId="4" w15:restartNumberingAfterBreak="0">
    <w:nsid w:val="0539246F"/>
    <w:multiLevelType w:val="singleLevel"/>
    <w:tmpl w:val="6418CD43"/>
    <w:lvl w:ilvl="0">
      <w:start w:val="4"/>
      <w:numFmt w:val="lowerLetter"/>
      <w:lvlText w:val="%1)"/>
      <w:lvlJc w:val="left"/>
      <w:pPr>
        <w:tabs>
          <w:tab w:val="num" w:pos="1296"/>
        </w:tabs>
        <w:ind w:left="1008"/>
      </w:pPr>
      <w:rPr>
        <w:rFonts w:ascii="Verdana" w:hAnsi="Verdana" w:cs="Verdana"/>
        <w:i/>
        <w:iCs/>
        <w:snapToGrid/>
        <w:sz w:val="22"/>
        <w:szCs w:val="22"/>
      </w:rPr>
    </w:lvl>
  </w:abstractNum>
  <w:abstractNum w:abstractNumId="5" w15:restartNumberingAfterBreak="0">
    <w:nsid w:val="065E44EA"/>
    <w:multiLevelType w:val="singleLevel"/>
    <w:tmpl w:val="7FBCBD99"/>
    <w:lvl w:ilvl="0">
      <w:start w:val="4"/>
      <w:numFmt w:val="decimal"/>
      <w:lvlText w:val="%1.-"/>
      <w:lvlJc w:val="left"/>
      <w:pPr>
        <w:tabs>
          <w:tab w:val="num" w:pos="504"/>
        </w:tabs>
        <w:ind w:left="72"/>
      </w:pPr>
      <w:rPr>
        <w:rFonts w:ascii="Verdana" w:hAnsi="Verdana" w:cs="Verdana"/>
        <w:b/>
        <w:bCs/>
        <w:snapToGrid/>
        <w:sz w:val="24"/>
        <w:szCs w:val="24"/>
      </w:rPr>
    </w:lvl>
  </w:abstractNum>
  <w:abstractNum w:abstractNumId="6" w15:restartNumberingAfterBreak="0">
    <w:nsid w:val="06964681"/>
    <w:multiLevelType w:val="singleLevel"/>
    <w:tmpl w:val="18C60816"/>
    <w:lvl w:ilvl="0">
      <w:start w:val="5"/>
      <w:numFmt w:val="decimal"/>
      <w:lvlText w:val="%1."/>
      <w:lvlJc w:val="left"/>
      <w:pPr>
        <w:tabs>
          <w:tab w:val="num" w:pos="648"/>
        </w:tabs>
        <w:ind w:left="432"/>
      </w:pPr>
      <w:rPr>
        <w:rFonts w:ascii="Verdana" w:hAnsi="Verdana" w:cs="Verdana"/>
        <w:i/>
        <w:iCs/>
        <w:snapToGrid/>
        <w:spacing w:val="-1"/>
        <w:sz w:val="16"/>
        <w:szCs w:val="16"/>
      </w:rPr>
    </w:lvl>
  </w:abstractNum>
  <w:abstractNum w:abstractNumId="7" w15:restartNumberingAfterBreak="0">
    <w:nsid w:val="07283319"/>
    <w:multiLevelType w:val="singleLevel"/>
    <w:tmpl w:val="DF00B2B0"/>
    <w:lvl w:ilvl="0">
      <w:start w:val="3"/>
      <w:numFmt w:val="upperLetter"/>
      <w:lvlText w:val="%1).-"/>
      <w:lvlJc w:val="left"/>
      <w:pPr>
        <w:tabs>
          <w:tab w:val="num" w:pos="648"/>
        </w:tabs>
        <w:ind w:left="72"/>
      </w:pPr>
      <w:rPr>
        <w:rFonts w:ascii="Verdana" w:hAnsi="Verdana" w:cs="Verdana"/>
        <w:b/>
        <w:snapToGrid/>
        <w:sz w:val="24"/>
        <w:szCs w:val="24"/>
      </w:rPr>
    </w:lvl>
  </w:abstractNum>
  <w:abstractNum w:abstractNumId="8" w15:restartNumberingAfterBreak="0">
    <w:nsid w:val="483D187C"/>
    <w:multiLevelType w:val="hybridMultilevel"/>
    <w:tmpl w:val="99C2303C"/>
    <w:lvl w:ilvl="0" w:tplc="20CC9F6C">
      <w:start w:val="2"/>
      <w:numFmt w:val="decimal"/>
      <w:lvlText w:val="%1."/>
      <w:lvlJc w:val="left"/>
      <w:pPr>
        <w:ind w:left="1008" w:hanging="360"/>
      </w:pPr>
      <w:rPr>
        <w:rFonts w:hint="default"/>
      </w:rPr>
    </w:lvl>
    <w:lvl w:ilvl="1" w:tplc="140A0019" w:tentative="1">
      <w:start w:val="1"/>
      <w:numFmt w:val="lowerLetter"/>
      <w:lvlText w:val="%2."/>
      <w:lvlJc w:val="left"/>
      <w:pPr>
        <w:ind w:left="1728" w:hanging="360"/>
      </w:pPr>
    </w:lvl>
    <w:lvl w:ilvl="2" w:tplc="140A001B" w:tentative="1">
      <w:start w:val="1"/>
      <w:numFmt w:val="lowerRoman"/>
      <w:lvlText w:val="%3."/>
      <w:lvlJc w:val="right"/>
      <w:pPr>
        <w:ind w:left="2448" w:hanging="180"/>
      </w:pPr>
    </w:lvl>
    <w:lvl w:ilvl="3" w:tplc="140A000F" w:tentative="1">
      <w:start w:val="1"/>
      <w:numFmt w:val="decimal"/>
      <w:lvlText w:val="%4."/>
      <w:lvlJc w:val="left"/>
      <w:pPr>
        <w:ind w:left="3168" w:hanging="360"/>
      </w:pPr>
    </w:lvl>
    <w:lvl w:ilvl="4" w:tplc="140A0019" w:tentative="1">
      <w:start w:val="1"/>
      <w:numFmt w:val="lowerLetter"/>
      <w:lvlText w:val="%5."/>
      <w:lvlJc w:val="left"/>
      <w:pPr>
        <w:ind w:left="3888" w:hanging="360"/>
      </w:pPr>
    </w:lvl>
    <w:lvl w:ilvl="5" w:tplc="140A001B" w:tentative="1">
      <w:start w:val="1"/>
      <w:numFmt w:val="lowerRoman"/>
      <w:lvlText w:val="%6."/>
      <w:lvlJc w:val="right"/>
      <w:pPr>
        <w:ind w:left="4608" w:hanging="180"/>
      </w:pPr>
    </w:lvl>
    <w:lvl w:ilvl="6" w:tplc="140A000F" w:tentative="1">
      <w:start w:val="1"/>
      <w:numFmt w:val="decimal"/>
      <w:lvlText w:val="%7."/>
      <w:lvlJc w:val="left"/>
      <w:pPr>
        <w:ind w:left="5328" w:hanging="360"/>
      </w:pPr>
    </w:lvl>
    <w:lvl w:ilvl="7" w:tplc="140A0019" w:tentative="1">
      <w:start w:val="1"/>
      <w:numFmt w:val="lowerLetter"/>
      <w:lvlText w:val="%8."/>
      <w:lvlJc w:val="left"/>
      <w:pPr>
        <w:ind w:left="6048" w:hanging="360"/>
      </w:pPr>
    </w:lvl>
    <w:lvl w:ilvl="8" w:tplc="140A001B" w:tentative="1">
      <w:start w:val="1"/>
      <w:numFmt w:val="lowerRoman"/>
      <w:lvlText w:val="%9."/>
      <w:lvlJc w:val="right"/>
      <w:pPr>
        <w:ind w:left="6768" w:hanging="180"/>
      </w:pPr>
    </w:lvl>
  </w:abstractNum>
  <w:num w:numId="1">
    <w:abstractNumId w:val="1"/>
  </w:num>
  <w:num w:numId="2">
    <w:abstractNumId w:val="6"/>
  </w:num>
  <w:num w:numId="3">
    <w:abstractNumId w:val="6"/>
    <w:lvlOverride w:ilvl="0">
      <w:lvl w:ilvl="0">
        <w:numFmt w:val="decimal"/>
        <w:lvlText w:val="%1."/>
        <w:lvlJc w:val="left"/>
        <w:pPr>
          <w:tabs>
            <w:tab w:val="num" w:pos="648"/>
          </w:tabs>
          <w:ind w:left="432"/>
        </w:pPr>
        <w:rPr>
          <w:rFonts w:ascii="Verdana" w:hAnsi="Verdana" w:cs="Verdana"/>
          <w:b/>
          <w:bCs/>
          <w:i/>
          <w:iCs/>
          <w:snapToGrid/>
          <w:spacing w:val="1"/>
          <w:sz w:val="16"/>
          <w:szCs w:val="16"/>
        </w:rPr>
      </w:lvl>
    </w:lvlOverride>
  </w:num>
  <w:num w:numId="4">
    <w:abstractNumId w:val="2"/>
  </w:num>
  <w:num w:numId="5">
    <w:abstractNumId w:val="2"/>
    <w:lvlOverride w:ilvl="0">
      <w:lvl w:ilvl="0">
        <w:numFmt w:val="decimal"/>
        <w:lvlText w:val="%1.-"/>
        <w:lvlJc w:val="left"/>
        <w:pPr>
          <w:tabs>
            <w:tab w:val="num" w:pos="648"/>
          </w:tabs>
          <w:ind w:left="72"/>
        </w:pPr>
        <w:rPr>
          <w:rFonts w:ascii="Verdana" w:hAnsi="Verdana" w:cs="Verdana"/>
          <w:b/>
          <w:bCs/>
          <w:snapToGrid/>
          <w:sz w:val="24"/>
          <w:szCs w:val="24"/>
        </w:rPr>
      </w:lvl>
    </w:lvlOverride>
  </w:num>
  <w:num w:numId="6">
    <w:abstractNumId w:val="7"/>
  </w:num>
  <w:num w:numId="7">
    <w:abstractNumId w:val="7"/>
    <w:lvlOverride w:ilvl="0">
      <w:lvl w:ilvl="0">
        <w:numFmt w:val="upperLetter"/>
        <w:lvlText w:val="%1).-"/>
        <w:lvlJc w:val="left"/>
        <w:pPr>
          <w:tabs>
            <w:tab w:val="num" w:pos="792"/>
          </w:tabs>
          <w:ind w:left="72"/>
        </w:pPr>
        <w:rPr>
          <w:rFonts w:ascii="Verdana" w:hAnsi="Verdana" w:cs="Verdana"/>
          <w:b/>
          <w:snapToGrid/>
          <w:sz w:val="24"/>
          <w:szCs w:val="24"/>
        </w:rPr>
      </w:lvl>
    </w:lvlOverride>
  </w:num>
  <w:num w:numId="8">
    <w:abstractNumId w:val="5"/>
  </w:num>
  <w:num w:numId="9">
    <w:abstractNumId w:val="0"/>
  </w:num>
  <w:num w:numId="10">
    <w:abstractNumId w:val="0"/>
    <w:lvlOverride w:ilvl="0">
      <w:lvl w:ilvl="0">
        <w:numFmt w:val="lowerLetter"/>
        <w:lvlText w:val="%1)"/>
        <w:lvlJc w:val="left"/>
        <w:pPr>
          <w:tabs>
            <w:tab w:val="num" w:pos="1440"/>
          </w:tabs>
          <w:ind w:left="648" w:firstLine="432"/>
        </w:pPr>
        <w:rPr>
          <w:rFonts w:ascii="Verdana" w:hAnsi="Verdana" w:cs="Verdana"/>
          <w:i/>
          <w:iCs/>
          <w:snapToGrid/>
          <w:spacing w:val="-3"/>
          <w:sz w:val="22"/>
          <w:szCs w:val="22"/>
        </w:rPr>
      </w:lvl>
    </w:lvlOverride>
  </w:num>
  <w:num w:numId="11">
    <w:abstractNumId w:val="0"/>
    <w:lvlOverride w:ilvl="0">
      <w:lvl w:ilvl="0">
        <w:numFmt w:val="lowerLetter"/>
        <w:lvlText w:val="%1)"/>
        <w:lvlJc w:val="left"/>
        <w:pPr>
          <w:tabs>
            <w:tab w:val="num" w:pos="1440"/>
          </w:tabs>
          <w:ind w:left="648" w:firstLine="432"/>
        </w:pPr>
        <w:rPr>
          <w:rFonts w:ascii="Verdana" w:hAnsi="Verdana" w:cs="Verdana"/>
          <w:i/>
          <w:iCs/>
          <w:snapToGrid/>
          <w:sz w:val="22"/>
          <w:szCs w:val="22"/>
          <w:u w:val="single"/>
        </w:rPr>
      </w:lvl>
    </w:lvlOverride>
  </w:num>
  <w:num w:numId="12">
    <w:abstractNumId w:val="4"/>
  </w:num>
  <w:num w:numId="13">
    <w:abstractNumId w:val="3"/>
  </w:num>
  <w:num w:numId="14">
    <w:abstractNumId w:val="3"/>
    <w:lvlOverride w:ilvl="0">
      <w:lvl w:ilvl="0">
        <w:numFmt w:val="upperRoman"/>
        <w:lvlText w:val="%1.-"/>
        <w:lvlJc w:val="left"/>
        <w:pPr>
          <w:tabs>
            <w:tab w:val="num" w:pos="1512"/>
          </w:tabs>
          <w:ind w:left="936"/>
        </w:pPr>
        <w:rPr>
          <w:rFonts w:ascii="Tahoma" w:hAnsi="Tahoma" w:cs="Tahoma"/>
          <w:b/>
          <w:snapToGrid/>
          <w:sz w:val="25"/>
          <w:szCs w:val="25"/>
        </w:rPr>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A7"/>
    <w:rsid w:val="00513DA7"/>
    <w:rsid w:val="00E23D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054802"/>
  <w14:defaultImageDpi w14:val="0"/>
  <w15:docId w15:val="{C7627881-B958-460F-BC9F-8A52A920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513DA7"/>
    <w:rPr>
      <w:lang w:val="es-CR"/>
    </w:rPr>
  </w:style>
  <w:style w:type="character" w:customStyle="1" w:styleId="CharacterStyle1">
    <w:name w:val="Character Style 1"/>
    <w:uiPriority w:val="99"/>
    <w:rsid w:val="00513D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cerdas@ctp.go.cr" TargetMode="External"/><Relationship Id="rId13" Type="http://schemas.openxmlformats.org/officeDocument/2006/relationships/hyperlink" Target="mailto:rmeza@dhr.go.c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orozco@ctp.go.cr" TargetMode="External"/><Relationship Id="rId12" Type="http://schemas.openxmlformats.org/officeDocument/2006/relationships/hyperlink" Target="mailto:kzeledon@dhr.go.c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barrantes05@gmail.com" TargetMode="External"/><Relationship Id="rId1" Type="http://schemas.openxmlformats.org/officeDocument/2006/relationships/numbering" Target="numbering.xml"/><Relationship Id="rId6" Type="http://schemas.openxmlformats.org/officeDocument/2006/relationships/hyperlink" Target="mailto:sfonseca@ctp.go.cr" TargetMode="External"/><Relationship Id="rId11" Type="http://schemas.openxmlformats.org/officeDocument/2006/relationships/hyperlink" Target="mailto:repretrans2014@gmail.com" TargetMode="External"/><Relationship Id="rId5" Type="http://schemas.openxmlformats.org/officeDocument/2006/relationships/hyperlink" Target="mailto:mfallas@ctp.go.cr" TargetMode="External"/><Relationship Id="rId15" Type="http://schemas.openxmlformats.org/officeDocument/2006/relationships/hyperlink" Target="mailto:gerencia@eca.or.cr" TargetMode="External"/><Relationship Id="rId10" Type="http://schemas.openxmlformats.org/officeDocument/2006/relationships/hyperlink" Target="mailto:rrodriguez@sigminaet.go.cr" TargetMode="External"/><Relationship Id="rId4" Type="http://schemas.openxmlformats.org/officeDocument/2006/relationships/webSettings" Target="webSettings.xml"/><Relationship Id="rId9" Type="http://schemas.openxmlformats.org/officeDocument/2006/relationships/hyperlink" Target="mailto:slopez@ctp.go.cr" TargetMode="External"/><Relationship Id="rId14" Type="http://schemas.openxmlformats.org/officeDocument/2006/relationships/hyperlink" Target="mailto:m.madriz@eca.or.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4224</Words>
  <Characters>23238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2017-03-28T17:59:00Z</dcterms:created>
  <dcterms:modified xsi:type="dcterms:W3CDTF">2017-03-28T17:59:00Z</dcterms:modified>
</cp:coreProperties>
</file>